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3081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EA53AA" w14:paraId="05BF26BB" w14:textId="77777777" w:rsidTr="002114F6">
        <w:tc>
          <w:tcPr>
            <w:tcW w:w="988" w:type="dxa"/>
            <w:shd w:val="clear" w:color="auto" w:fill="A6A6A6" w:themeFill="background1" w:themeFillShade="A6"/>
          </w:tcPr>
          <w:p w14:paraId="57A2A1E7" w14:textId="22702079" w:rsidR="00EA53AA" w:rsidRPr="002114F6" w:rsidRDefault="0003052F" w:rsidP="00EA53AA">
            <w:pPr>
              <w:rPr>
                <w:b/>
                <w:bCs/>
              </w:rPr>
            </w:pPr>
            <w:r w:rsidRPr="002114F6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258488E" wp14:editId="4BEE9BAB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-921385</wp:posOffset>
                      </wp:positionV>
                      <wp:extent cx="5207000" cy="1404620"/>
                      <wp:effectExtent l="0" t="0" r="0" b="190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915D14" w14:textId="0F93E67E" w:rsidR="0003052F" w:rsidRPr="0003052F" w:rsidRDefault="0003052F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3052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Proposed Amendments to Articles of Association August 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25848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.35pt;margin-top:-72.55pt;width:410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" stroked="f">
                      <v:textbox style="mso-fit-shape-to-text:t">
                        <w:txbxContent>
                          <w:p w14:paraId="1B915D14" w14:textId="0F93E67E" w:rsidR="0003052F" w:rsidRPr="0003052F" w:rsidRDefault="000305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52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Proposed Amendments to Articles of Association August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53AA" w:rsidRPr="002114F6">
              <w:rPr>
                <w:b/>
                <w:bCs/>
              </w:rPr>
              <w:t>Article</w:t>
            </w:r>
          </w:p>
        </w:tc>
        <w:tc>
          <w:tcPr>
            <w:tcW w:w="8028" w:type="dxa"/>
            <w:shd w:val="clear" w:color="auto" w:fill="A6A6A6" w:themeFill="background1" w:themeFillShade="A6"/>
          </w:tcPr>
          <w:p w14:paraId="1529F596" w14:textId="48AFFC55" w:rsidR="00EA53AA" w:rsidRPr="002114F6" w:rsidRDefault="00522D2F" w:rsidP="00EA53AA">
            <w:pPr>
              <w:rPr>
                <w:b/>
                <w:bCs/>
              </w:rPr>
            </w:pPr>
            <w:r w:rsidRPr="002114F6"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195DCAE0" wp14:editId="2C2702F6">
                  <wp:simplePos x="0" y="0"/>
                  <wp:positionH relativeFrom="margin">
                    <wp:posOffset>1542415</wp:posOffset>
                  </wp:positionH>
                  <wp:positionV relativeFrom="paragraph">
                    <wp:posOffset>-2280285</wp:posOffset>
                  </wp:positionV>
                  <wp:extent cx="1242680" cy="971550"/>
                  <wp:effectExtent l="0" t="0" r="0" b="0"/>
                  <wp:wrapNone/>
                  <wp:docPr id="873335437" name="Picture 2" descr="A black and red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335437" name="Picture 2" descr="A black and red logo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91" t="24960" r="18394" b="25527"/>
                          <a:stretch/>
                        </pic:blipFill>
                        <pic:spPr bwMode="auto">
                          <a:xfrm>
                            <a:off x="0" y="0"/>
                            <a:ext cx="1242680" cy="97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53AA" w:rsidRPr="002114F6">
              <w:rPr>
                <w:b/>
                <w:bCs/>
              </w:rPr>
              <w:t>Proposed Amendment</w:t>
            </w:r>
          </w:p>
        </w:tc>
      </w:tr>
      <w:tr w:rsidR="00EA53AA" w14:paraId="3B387024" w14:textId="77777777" w:rsidTr="00EA53AA">
        <w:trPr>
          <w:trHeight w:val="840"/>
        </w:trPr>
        <w:tc>
          <w:tcPr>
            <w:tcW w:w="988" w:type="dxa"/>
          </w:tcPr>
          <w:p w14:paraId="411BBFA1" w14:textId="77777777" w:rsidR="00EA53AA" w:rsidRDefault="00EA53AA" w:rsidP="00EA53AA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3.0</w:t>
            </w:r>
          </w:p>
          <w:p w14:paraId="113D7FFF" w14:textId="77777777" w:rsidR="00EA53AA" w:rsidRDefault="00EA53AA" w:rsidP="00EA53AA"/>
        </w:tc>
        <w:tc>
          <w:tcPr>
            <w:tcW w:w="8028" w:type="dxa"/>
          </w:tcPr>
          <w:p w14:paraId="5A144891" w14:textId="7732CEA1" w:rsidR="00EA53AA" w:rsidRDefault="00423F9B" w:rsidP="00EA53AA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Article 3.0 amended </w:t>
            </w:r>
            <w:r w:rsidR="00EA53AA">
              <w:rPr>
                <w:rFonts w:ascii="Aptos Narrow" w:hAnsi="Aptos Narrow"/>
                <w:color w:val="000000"/>
              </w:rPr>
              <w:t xml:space="preserve">to </w:t>
            </w:r>
            <w:r>
              <w:rPr>
                <w:rFonts w:ascii="Aptos Narrow" w:hAnsi="Aptos Narrow"/>
                <w:color w:val="000000"/>
              </w:rPr>
              <w:t>add</w:t>
            </w:r>
            <w:r w:rsidR="00EA53AA">
              <w:rPr>
                <w:rFonts w:ascii="Aptos Narrow" w:hAnsi="Aptos Narrow"/>
                <w:color w:val="000000"/>
              </w:rPr>
              <w:t xml:space="preserve"> the following roles already being used in the charity:  Co-Opted Director, Honorary Patron, Benefactor, Life Member, Executive Advisor.</w:t>
            </w:r>
            <w:r w:rsidR="00BF4FD8">
              <w:rPr>
                <w:rFonts w:ascii="Aptos Narrow" w:hAnsi="Aptos Narrow"/>
                <w:color w:val="000000"/>
              </w:rPr>
              <w:t xml:space="preserve"> </w:t>
            </w:r>
            <w:r w:rsidR="00EB0306">
              <w:rPr>
                <w:rFonts w:ascii="Aptos Narrow" w:hAnsi="Aptos Narrow"/>
                <w:color w:val="000000"/>
              </w:rPr>
              <w:t>The d</w:t>
            </w:r>
            <w:r w:rsidR="00BF4FD8">
              <w:rPr>
                <w:rFonts w:ascii="Aptos Narrow" w:hAnsi="Aptos Narrow"/>
                <w:color w:val="000000"/>
              </w:rPr>
              <w:t>efinition of Principal Officer corrected to refer to Article 32.4.</w:t>
            </w:r>
          </w:p>
          <w:p w14:paraId="7F64059E" w14:textId="77777777" w:rsidR="00EA53AA" w:rsidRDefault="00EA53AA" w:rsidP="00EA53AA"/>
        </w:tc>
      </w:tr>
      <w:tr w:rsidR="00EA53AA" w14:paraId="12226169" w14:textId="77777777" w:rsidTr="00EA53AA">
        <w:trPr>
          <w:trHeight w:val="564"/>
        </w:trPr>
        <w:tc>
          <w:tcPr>
            <w:tcW w:w="988" w:type="dxa"/>
          </w:tcPr>
          <w:p w14:paraId="7F32E4B9" w14:textId="06233215" w:rsidR="00EA53AA" w:rsidRDefault="00EA53AA" w:rsidP="00EA53AA">
            <w:r>
              <w:t>7.3</w:t>
            </w:r>
          </w:p>
        </w:tc>
        <w:tc>
          <w:tcPr>
            <w:tcW w:w="8028" w:type="dxa"/>
          </w:tcPr>
          <w:p w14:paraId="5E7D90A1" w14:textId="7CDD3E0A" w:rsidR="00EA53AA" w:rsidRDefault="00D33652" w:rsidP="00EA53AA">
            <w:r>
              <w:t>Article</w:t>
            </w:r>
            <w:r w:rsidR="00423F9B">
              <w:t xml:space="preserve"> 7.3 amended</w:t>
            </w:r>
            <w:r w:rsidR="00EA53AA">
              <w:t xml:space="preserve"> to make it clear that there must be a minimum of 20 members to comply with article 7.2.</w:t>
            </w:r>
          </w:p>
        </w:tc>
      </w:tr>
      <w:tr w:rsidR="00EA53AA" w14:paraId="25F6CDB2" w14:textId="77777777" w:rsidTr="00EA53AA">
        <w:trPr>
          <w:trHeight w:val="558"/>
        </w:trPr>
        <w:tc>
          <w:tcPr>
            <w:tcW w:w="988" w:type="dxa"/>
          </w:tcPr>
          <w:p w14:paraId="4BFFA25B" w14:textId="5B110A11" w:rsidR="00EA53AA" w:rsidRDefault="00B07BCC" w:rsidP="00EA53AA">
            <w:r>
              <w:t>8.1.2</w:t>
            </w:r>
          </w:p>
        </w:tc>
        <w:tc>
          <w:tcPr>
            <w:tcW w:w="8028" w:type="dxa"/>
          </w:tcPr>
          <w:p w14:paraId="29045327" w14:textId="08024B32" w:rsidR="00EA53AA" w:rsidRDefault="00423F9B" w:rsidP="00240A6E">
            <w:r w:rsidRPr="006A3D4A">
              <w:rPr>
                <w:rFonts w:ascii="Aptos Narrow" w:hAnsi="Aptos Narrow"/>
              </w:rPr>
              <w:t xml:space="preserve">Clause 8.1.2 </w:t>
            </w:r>
            <w:r w:rsidR="00312E8B" w:rsidRPr="006A3D4A">
              <w:rPr>
                <w:rFonts w:ascii="Aptos Narrow" w:hAnsi="Aptos Narrow"/>
              </w:rPr>
              <w:t xml:space="preserve">the definition of Junior Members amended </w:t>
            </w:r>
            <w:r w:rsidR="00B07BCC" w:rsidRPr="006A3D4A">
              <w:rPr>
                <w:rFonts w:ascii="Aptos Narrow" w:hAnsi="Aptos Narrow"/>
              </w:rPr>
              <w:t xml:space="preserve">to include "or pupils" </w:t>
            </w:r>
            <w:r w:rsidR="00240A6E" w:rsidRPr="006A3D4A">
              <w:rPr>
                <w:rFonts w:ascii="Aptos Narrow" w:hAnsi="Aptos Narrow"/>
              </w:rPr>
              <w:t xml:space="preserve">and the ages 11 to 17 (previously 12 to 15) </w:t>
            </w:r>
            <w:r w:rsidR="00B07BCC" w:rsidRPr="006A3D4A">
              <w:rPr>
                <w:rFonts w:ascii="Aptos Narrow" w:hAnsi="Aptos Narrow"/>
              </w:rPr>
              <w:t xml:space="preserve">to allow </w:t>
            </w:r>
            <w:r w:rsidR="00240A6E" w:rsidRPr="006A3D4A">
              <w:rPr>
                <w:rFonts w:ascii="Aptos Narrow" w:hAnsi="Aptos Narrow"/>
              </w:rPr>
              <w:t xml:space="preserve">for </w:t>
            </w:r>
            <w:r w:rsidR="00B07BCC" w:rsidRPr="006A3D4A">
              <w:rPr>
                <w:rFonts w:ascii="Aptos Narrow" w:hAnsi="Aptos Narrow"/>
              </w:rPr>
              <w:t>inclusivity of all pupils studying in Prestwick.</w:t>
            </w:r>
            <w:r w:rsidR="00B07BCC" w:rsidRPr="006A3D4A">
              <w:rPr>
                <w:rFonts w:ascii="Aptos Narrow" w:hAnsi="Aptos Narrow"/>
              </w:rPr>
              <w:t xml:space="preserve"> </w:t>
            </w:r>
            <w:r w:rsidR="002114F6" w:rsidRPr="006A3D4A">
              <w:rPr>
                <w:rFonts w:ascii="Arial" w:eastAsia="Arial" w:hAnsi="Arial" w:cs="Arial"/>
                <w:sz w:val="21"/>
              </w:rPr>
              <w:t xml:space="preserve">Junior Members </w:t>
            </w:r>
            <w:r w:rsidR="00312E8B" w:rsidRPr="006A3D4A">
              <w:rPr>
                <w:rFonts w:ascii="Arial" w:eastAsia="Arial" w:hAnsi="Arial" w:cs="Arial"/>
                <w:sz w:val="21"/>
              </w:rPr>
              <w:t>aged</w:t>
            </w:r>
            <w:r w:rsidR="002114F6" w:rsidRPr="006A3D4A">
              <w:rPr>
                <w:rFonts w:ascii="Arial" w:eastAsia="Arial" w:hAnsi="Arial" w:cs="Arial"/>
                <w:sz w:val="21"/>
              </w:rPr>
              <w:t xml:space="preserve"> 16 and over who are resident in </w:t>
            </w:r>
            <w:r w:rsidR="002114F6" w:rsidRPr="006A3D4A">
              <w:rPr>
                <w:rFonts w:ascii="Arial" w:eastAsia="Arial" w:hAnsi="Arial" w:cs="Arial"/>
                <w:sz w:val="21"/>
              </w:rPr>
              <w:t>the KA9 postcode area</w:t>
            </w:r>
            <w:r w:rsidR="002114F6" w:rsidRPr="006A3D4A">
              <w:rPr>
                <w:rFonts w:ascii="Arial" w:eastAsia="Arial" w:hAnsi="Arial" w:cs="Arial"/>
                <w:sz w:val="21"/>
              </w:rPr>
              <w:t xml:space="preserve"> may serve as Directors by resigning their Junior Membership and effecting Ordinary Membership.</w:t>
            </w:r>
          </w:p>
        </w:tc>
      </w:tr>
      <w:tr w:rsidR="00EA53AA" w14:paraId="702BBA05" w14:textId="77777777" w:rsidTr="00EA53AA">
        <w:trPr>
          <w:trHeight w:val="552"/>
        </w:trPr>
        <w:tc>
          <w:tcPr>
            <w:tcW w:w="988" w:type="dxa"/>
          </w:tcPr>
          <w:p w14:paraId="083DE6EE" w14:textId="70368838" w:rsidR="00EA53AA" w:rsidRDefault="00B07BCC" w:rsidP="00EA53AA">
            <w:r>
              <w:t>8.2</w:t>
            </w:r>
          </w:p>
        </w:tc>
        <w:tc>
          <w:tcPr>
            <w:tcW w:w="8028" w:type="dxa"/>
          </w:tcPr>
          <w:p w14:paraId="7024BFF2" w14:textId="66409843" w:rsidR="00B07BCC" w:rsidRDefault="00D33652" w:rsidP="00B07BCC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Article</w:t>
            </w:r>
            <w:r w:rsidR="00312E8B">
              <w:rPr>
                <w:rFonts w:ascii="Aptos Narrow" w:hAnsi="Aptos Narrow"/>
                <w:color w:val="000000"/>
              </w:rPr>
              <w:t xml:space="preserve"> 8.2 </w:t>
            </w:r>
            <w:r w:rsidR="008579B3">
              <w:rPr>
                <w:rFonts w:ascii="Aptos Narrow" w:hAnsi="Aptos Narrow"/>
                <w:color w:val="000000"/>
              </w:rPr>
              <w:t>updated</w:t>
            </w:r>
            <w:r w:rsidR="00B07BCC">
              <w:rPr>
                <w:rFonts w:ascii="Aptos Narrow" w:hAnsi="Aptos Narrow"/>
                <w:color w:val="000000"/>
              </w:rPr>
              <w:t xml:space="preserve"> to clarify the process when </w:t>
            </w:r>
            <w:r w:rsidR="00B07BCC">
              <w:rPr>
                <w:rFonts w:ascii="Aptos Narrow" w:hAnsi="Aptos Narrow"/>
                <w:color w:val="000000"/>
              </w:rPr>
              <w:t xml:space="preserve">a </w:t>
            </w:r>
            <w:r w:rsidR="00B07BCC">
              <w:rPr>
                <w:rFonts w:ascii="Aptos Narrow" w:hAnsi="Aptos Narrow"/>
                <w:color w:val="000000"/>
              </w:rPr>
              <w:t xml:space="preserve">member no longer </w:t>
            </w:r>
            <w:r w:rsidR="00B07BCC">
              <w:rPr>
                <w:rFonts w:ascii="Aptos Narrow" w:hAnsi="Aptos Narrow"/>
                <w:color w:val="000000"/>
              </w:rPr>
              <w:t>qualifies</w:t>
            </w:r>
            <w:r w:rsidR="00B07BCC">
              <w:rPr>
                <w:rFonts w:ascii="Aptos Narrow" w:hAnsi="Aptos Narrow"/>
                <w:color w:val="000000"/>
              </w:rPr>
              <w:t xml:space="preserve"> for their current membership classification</w:t>
            </w:r>
            <w:r w:rsidR="00E47C7E">
              <w:rPr>
                <w:rFonts w:ascii="Aptos Narrow" w:hAnsi="Aptos Narrow"/>
                <w:color w:val="000000"/>
              </w:rPr>
              <w:t xml:space="preserve"> e.g. where an </w:t>
            </w:r>
            <w:r w:rsidR="00B07BCC" w:rsidRPr="00B07BCC">
              <w:rPr>
                <w:rFonts w:ascii="Aptos Narrow" w:hAnsi="Aptos Narrow"/>
                <w:color w:val="000000"/>
              </w:rPr>
              <w:t xml:space="preserve">Ordinary Member </w:t>
            </w:r>
            <w:r w:rsidR="00B07BCC">
              <w:rPr>
                <w:rFonts w:ascii="Aptos Narrow" w:hAnsi="Aptos Narrow"/>
                <w:color w:val="000000"/>
              </w:rPr>
              <w:t xml:space="preserve">moves from residing in the Community (KA9) they will be reclassified </w:t>
            </w:r>
            <w:r w:rsidR="00B07BCC" w:rsidRPr="00B07BCC">
              <w:rPr>
                <w:rFonts w:ascii="Aptos Narrow" w:hAnsi="Aptos Narrow"/>
                <w:color w:val="000000"/>
              </w:rPr>
              <w:t xml:space="preserve">as an Associate, </w:t>
            </w:r>
            <w:r w:rsidR="00E47C7E">
              <w:rPr>
                <w:rFonts w:ascii="Aptos Narrow" w:hAnsi="Aptos Narrow"/>
                <w:color w:val="000000"/>
              </w:rPr>
              <w:t>s</w:t>
            </w:r>
            <w:r w:rsidR="00B07BCC" w:rsidRPr="00B07BCC">
              <w:rPr>
                <w:rFonts w:ascii="Aptos Narrow" w:hAnsi="Aptos Narrow"/>
                <w:color w:val="000000"/>
              </w:rPr>
              <w:t>ubject to payment of the subscription.</w:t>
            </w:r>
          </w:p>
          <w:p w14:paraId="49D0F3F4" w14:textId="77777777" w:rsidR="00EA53AA" w:rsidRDefault="00EA53AA" w:rsidP="00EA53AA"/>
        </w:tc>
      </w:tr>
      <w:tr w:rsidR="00EA53AA" w14:paraId="2E0C821F" w14:textId="77777777" w:rsidTr="00EA53AA">
        <w:trPr>
          <w:trHeight w:val="560"/>
        </w:trPr>
        <w:tc>
          <w:tcPr>
            <w:tcW w:w="988" w:type="dxa"/>
          </w:tcPr>
          <w:p w14:paraId="588C3E9C" w14:textId="32AC40D1" w:rsidR="00EA53AA" w:rsidRDefault="00B07BCC" w:rsidP="00EA53AA">
            <w:r>
              <w:t>9.1</w:t>
            </w:r>
          </w:p>
        </w:tc>
        <w:tc>
          <w:tcPr>
            <w:tcW w:w="8028" w:type="dxa"/>
          </w:tcPr>
          <w:p w14:paraId="4C20D875" w14:textId="4488CE92" w:rsidR="00B07BCC" w:rsidRDefault="00D33652" w:rsidP="00B07BCC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Article</w:t>
            </w:r>
            <w:r w:rsidR="00312E8B">
              <w:rPr>
                <w:rFonts w:ascii="Aptos Narrow" w:hAnsi="Aptos Narrow"/>
                <w:color w:val="000000"/>
              </w:rPr>
              <w:t xml:space="preserve"> 9.1</w:t>
            </w:r>
            <w:r w:rsidR="00B07BCC">
              <w:rPr>
                <w:rFonts w:ascii="Aptos Narrow" w:hAnsi="Aptos Narrow"/>
                <w:color w:val="000000"/>
              </w:rPr>
              <w:t xml:space="preserve"> updated to explain membership applications </w:t>
            </w:r>
            <w:r w:rsidR="00E47C7E">
              <w:rPr>
                <w:rFonts w:ascii="Aptos Narrow" w:hAnsi="Aptos Narrow"/>
                <w:color w:val="000000"/>
              </w:rPr>
              <w:t>may be</w:t>
            </w:r>
            <w:r w:rsidR="00B07BCC">
              <w:rPr>
                <w:rFonts w:ascii="Aptos Narrow" w:hAnsi="Aptos Narrow"/>
                <w:color w:val="000000"/>
              </w:rPr>
              <w:t xml:space="preserve"> completed online.</w:t>
            </w:r>
          </w:p>
          <w:p w14:paraId="174ADCFD" w14:textId="77777777" w:rsidR="00EA53AA" w:rsidRDefault="00EA53AA" w:rsidP="00EA53AA"/>
        </w:tc>
      </w:tr>
      <w:tr w:rsidR="00EA53AA" w14:paraId="286FDEDE" w14:textId="77777777" w:rsidTr="00EA53AA">
        <w:trPr>
          <w:trHeight w:val="554"/>
        </w:trPr>
        <w:tc>
          <w:tcPr>
            <w:tcW w:w="988" w:type="dxa"/>
          </w:tcPr>
          <w:p w14:paraId="30E8992F" w14:textId="68093535" w:rsidR="00EA53AA" w:rsidRDefault="008579B3" w:rsidP="00EA53AA">
            <w:r>
              <w:t>11.1</w:t>
            </w:r>
          </w:p>
        </w:tc>
        <w:tc>
          <w:tcPr>
            <w:tcW w:w="8028" w:type="dxa"/>
          </w:tcPr>
          <w:p w14:paraId="6D05B7E7" w14:textId="14E9CCAA" w:rsidR="008579B3" w:rsidRDefault="00D33652" w:rsidP="008579B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Article</w:t>
            </w:r>
            <w:r w:rsidR="00312E8B">
              <w:rPr>
                <w:rFonts w:ascii="Aptos Narrow" w:hAnsi="Aptos Narrow"/>
                <w:color w:val="000000"/>
              </w:rPr>
              <w:t xml:space="preserve"> 11.1</w:t>
            </w:r>
            <w:r w:rsidR="008579B3">
              <w:rPr>
                <w:rFonts w:ascii="Aptos Narrow" w:hAnsi="Aptos Narrow"/>
                <w:color w:val="000000"/>
              </w:rPr>
              <w:t xml:space="preserve"> updated to remove </w:t>
            </w:r>
            <w:r w:rsidR="008579B3">
              <w:rPr>
                <w:rFonts w:ascii="Aptos Narrow" w:hAnsi="Aptos Narrow"/>
                <w:color w:val="000000"/>
              </w:rPr>
              <w:t xml:space="preserve">the reference to </w:t>
            </w:r>
            <w:r w:rsidR="008579B3">
              <w:rPr>
                <w:rFonts w:ascii="Aptos Narrow" w:hAnsi="Aptos Narrow"/>
                <w:color w:val="000000"/>
              </w:rPr>
              <w:t>documents being sent by fax and</w:t>
            </w:r>
            <w:r w:rsidR="008579B3">
              <w:rPr>
                <w:rFonts w:ascii="Aptos Narrow" w:hAnsi="Aptos Narrow"/>
                <w:color w:val="000000"/>
              </w:rPr>
              <w:t xml:space="preserve"> instead they</w:t>
            </w:r>
            <w:r w:rsidR="008579B3">
              <w:rPr>
                <w:rFonts w:ascii="Aptos Narrow" w:hAnsi="Aptos Narrow"/>
                <w:color w:val="000000"/>
              </w:rPr>
              <w:t xml:space="preserve"> </w:t>
            </w:r>
            <w:r w:rsidR="008579B3">
              <w:rPr>
                <w:rFonts w:ascii="Aptos Narrow" w:hAnsi="Aptos Narrow"/>
                <w:color w:val="000000"/>
              </w:rPr>
              <w:t>may be sent by</w:t>
            </w:r>
            <w:r w:rsidR="008579B3">
              <w:rPr>
                <w:rFonts w:ascii="Aptos Narrow" w:hAnsi="Aptos Narrow"/>
                <w:color w:val="000000"/>
              </w:rPr>
              <w:t xml:space="preserve"> email.</w:t>
            </w:r>
          </w:p>
          <w:p w14:paraId="66496335" w14:textId="77777777" w:rsidR="00EA53AA" w:rsidRDefault="00EA53AA" w:rsidP="00EA53AA"/>
        </w:tc>
      </w:tr>
      <w:tr w:rsidR="008579B3" w14:paraId="7C3F13EE" w14:textId="77777777" w:rsidTr="00EA53AA">
        <w:trPr>
          <w:trHeight w:val="562"/>
        </w:trPr>
        <w:tc>
          <w:tcPr>
            <w:tcW w:w="988" w:type="dxa"/>
          </w:tcPr>
          <w:p w14:paraId="66C5B2BA" w14:textId="183892D6" w:rsidR="008579B3" w:rsidRDefault="008579B3" w:rsidP="008579B3">
            <w:r>
              <w:t>11.2</w:t>
            </w:r>
          </w:p>
        </w:tc>
        <w:tc>
          <w:tcPr>
            <w:tcW w:w="8028" w:type="dxa"/>
          </w:tcPr>
          <w:p w14:paraId="5E870846" w14:textId="4F5B800A" w:rsidR="008579B3" w:rsidRDefault="00D33652" w:rsidP="008579B3">
            <w:pPr>
              <w:rPr>
                <w:rFonts w:ascii="Aptos Narrow" w:hAnsi="Aptos Narrow"/>
                <w:color w:val="000000"/>
              </w:rPr>
            </w:pPr>
            <w:proofErr w:type="gramStart"/>
            <w:r>
              <w:rPr>
                <w:rFonts w:ascii="Aptos Narrow" w:hAnsi="Aptos Narrow"/>
                <w:color w:val="000000"/>
              </w:rPr>
              <w:t>Article</w:t>
            </w:r>
            <w:r>
              <w:rPr>
                <w:rFonts w:ascii="Aptos Narrow" w:hAnsi="Aptos Narrow"/>
                <w:color w:val="000000"/>
              </w:rPr>
              <w:t xml:space="preserve"> </w:t>
            </w:r>
            <w:r w:rsidR="00312E8B">
              <w:rPr>
                <w:rFonts w:ascii="Aptos Narrow" w:hAnsi="Aptos Narrow"/>
                <w:color w:val="000000"/>
              </w:rPr>
              <w:t xml:space="preserve"> 11.2</w:t>
            </w:r>
            <w:proofErr w:type="gramEnd"/>
            <w:r w:rsidR="00312E8B">
              <w:rPr>
                <w:rFonts w:ascii="Aptos Narrow" w:hAnsi="Aptos Narrow"/>
                <w:color w:val="000000"/>
              </w:rPr>
              <w:t xml:space="preserve"> </w:t>
            </w:r>
            <w:r w:rsidR="008579B3">
              <w:rPr>
                <w:rFonts w:ascii="Aptos Narrow" w:hAnsi="Aptos Narrow"/>
                <w:color w:val="000000"/>
              </w:rPr>
              <w:t>updated to remove the reference to documents being sent by fax and instead they may be sent by email.</w:t>
            </w:r>
          </w:p>
          <w:p w14:paraId="49667FBB" w14:textId="77777777" w:rsidR="008579B3" w:rsidRDefault="008579B3" w:rsidP="008579B3"/>
        </w:tc>
      </w:tr>
      <w:tr w:rsidR="008579B3" w14:paraId="7B03C655" w14:textId="77777777" w:rsidTr="00EA53AA">
        <w:trPr>
          <w:trHeight w:val="562"/>
        </w:trPr>
        <w:tc>
          <w:tcPr>
            <w:tcW w:w="988" w:type="dxa"/>
          </w:tcPr>
          <w:p w14:paraId="6BD6B0E5" w14:textId="0384241F" w:rsidR="008579B3" w:rsidRDefault="008579B3" w:rsidP="008579B3">
            <w:r>
              <w:t>12.0</w:t>
            </w:r>
          </w:p>
        </w:tc>
        <w:tc>
          <w:tcPr>
            <w:tcW w:w="8028" w:type="dxa"/>
          </w:tcPr>
          <w:p w14:paraId="264D3555" w14:textId="16F780D8" w:rsidR="008579B3" w:rsidRDefault="008579B3" w:rsidP="008579B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Article 14.0 </w:t>
            </w:r>
            <w:r w:rsidR="00312E8B">
              <w:rPr>
                <w:rFonts w:ascii="Aptos Narrow" w:hAnsi="Aptos Narrow"/>
                <w:color w:val="000000"/>
              </w:rPr>
              <w:t>re-numbered as Article</w:t>
            </w:r>
            <w:r>
              <w:rPr>
                <w:rFonts w:ascii="Aptos Narrow" w:hAnsi="Aptos Narrow"/>
                <w:color w:val="000000"/>
              </w:rPr>
              <w:t xml:space="preserve"> 12.0</w:t>
            </w:r>
            <w:r w:rsidR="00670952">
              <w:rPr>
                <w:rFonts w:ascii="Aptos Narrow" w:hAnsi="Aptos Narrow"/>
                <w:color w:val="000000"/>
              </w:rPr>
              <w:t>.</w:t>
            </w:r>
          </w:p>
        </w:tc>
      </w:tr>
      <w:tr w:rsidR="008579B3" w14:paraId="608EA4C3" w14:textId="77777777" w:rsidTr="00EA53AA">
        <w:trPr>
          <w:trHeight w:val="562"/>
        </w:trPr>
        <w:tc>
          <w:tcPr>
            <w:tcW w:w="988" w:type="dxa"/>
          </w:tcPr>
          <w:p w14:paraId="05DC7460" w14:textId="019CA2D2" w:rsidR="008579B3" w:rsidRDefault="00670952" w:rsidP="008579B3">
            <w:r>
              <w:t>13.0</w:t>
            </w:r>
          </w:p>
        </w:tc>
        <w:tc>
          <w:tcPr>
            <w:tcW w:w="8028" w:type="dxa"/>
          </w:tcPr>
          <w:p w14:paraId="756937CD" w14:textId="7623DE94" w:rsidR="008579B3" w:rsidRDefault="00670952" w:rsidP="008579B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Article 1</w:t>
            </w:r>
            <w:r>
              <w:rPr>
                <w:rFonts w:ascii="Aptos Narrow" w:hAnsi="Aptos Narrow"/>
                <w:color w:val="000000"/>
              </w:rPr>
              <w:t>2</w:t>
            </w:r>
            <w:r>
              <w:rPr>
                <w:rFonts w:ascii="Aptos Narrow" w:hAnsi="Aptos Narrow"/>
                <w:color w:val="000000"/>
              </w:rPr>
              <w:t xml:space="preserve">.0 </w:t>
            </w:r>
            <w:r w:rsidR="00312E8B">
              <w:rPr>
                <w:rFonts w:ascii="Aptos Narrow" w:hAnsi="Aptos Narrow"/>
                <w:color w:val="000000"/>
              </w:rPr>
              <w:t xml:space="preserve">re-numbered as Article </w:t>
            </w:r>
            <w:r>
              <w:rPr>
                <w:rFonts w:ascii="Aptos Narrow" w:hAnsi="Aptos Narrow"/>
                <w:color w:val="000000"/>
              </w:rPr>
              <w:t>1</w:t>
            </w:r>
            <w:r>
              <w:rPr>
                <w:rFonts w:ascii="Aptos Narrow" w:hAnsi="Aptos Narrow"/>
                <w:color w:val="000000"/>
              </w:rPr>
              <w:t>3</w:t>
            </w:r>
            <w:r>
              <w:rPr>
                <w:rFonts w:ascii="Aptos Narrow" w:hAnsi="Aptos Narrow"/>
                <w:color w:val="000000"/>
              </w:rPr>
              <w:t>.0</w:t>
            </w:r>
            <w:r>
              <w:rPr>
                <w:rFonts w:ascii="Aptos Narrow" w:hAnsi="Aptos Narrow"/>
                <w:color w:val="000000"/>
              </w:rPr>
              <w:t>.</w:t>
            </w:r>
          </w:p>
        </w:tc>
      </w:tr>
      <w:tr w:rsidR="00670952" w14:paraId="035A375B" w14:textId="77777777" w:rsidTr="00EA53AA">
        <w:trPr>
          <w:trHeight w:val="562"/>
        </w:trPr>
        <w:tc>
          <w:tcPr>
            <w:tcW w:w="988" w:type="dxa"/>
          </w:tcPr>
          <w:p w14:paraId="4D2B23E4" w14:textId="1709D17E" w:rsidR="00670952" w:rsidRDefault="00670952" w:rsidP="008579B3">
            <w:r>
              <w:t>13</w:t>
            </w:r>
          </w:p>
        </w:tc>
        <w:tc>
          <w:tcPr>
            <w:tcW w:w="8028" w:type="dxa"/>
          </w:tcPr>
          <w:p w14:paraId="4F471409" w14:textId="5C34B0C2" w:rsidR="00670952" w:rsidRDefault="00312E8B" w:rsidP="00670952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</w:t>
            </w:r>
            <w:r w:rsidR="00670952">
              <w:rPr>
                <w:rFonts w:ascii="Aptos Narrow" w:hAnsi="Aptos Narrow"/>
                <w:color w:val="000000"/>
              </w:rPr>
              <w:t xml:space="preserve">rticle 13 (previously </w:t>
            </w:r>
            <w:r>
              <w:rPr>
                <w:rFonts w:ascii="Aptos Narrow" w:hAnsi="Aptos Narrow"/>
                <w:color w:val="000000"/>
              </w:rPr>
              <w:t xml:space="preserve">Article </w:t>
            </w:r>
            <w:r w:rsidR="00670952">
              <w:rPr>
                <w:rFonts w:ascii="Aptos Narrow" w:hAnsi="Aptos Narrow"/>
                <w:color w:val="000000"/>
              </w:rPr>
              <w:t xml:space="preserve">12) </w:t>
            </w:r>
            <w:r w:rsidR="00670952">
              <w:rPr>
                <w:rFonts w:ascii="Aptos Narrow" w:hAnsi="Aptos Narrow"/>
                <w:color w:val="000000"/>
              </w:rPr>
              <w:t>updated to make it clear that subscriptions apply to both Ordinary &amp; Associate Members.</w:t>
            </w:r>
          </w:p>
          <w:p w14:paraId="0B0CC124" w14:textId="77777777" w:rsidR="00670952" w:rsidRDefault="00670952" w:rsidP="008579B3">
            <w:pPr>
              <w:rPr>
                <w:rFonts w:ascii="Aptos Narrow" w:hAnsi="Aptos Narrow"/>
                <w:color w:val="000000"/>
              </w:rPr>
            </w:pPr>
          </w:p>
        </w:tc>
      </w:tr>
      <w:tr w:rsidR="00670952" w14:paraId="767A5B2E" w14:textId="77777777" w:rsidTr="00EA53AA">
        <w:trPr>
          <w:trHeight w:val="562"/>
        </w:trPr>
        <w:tc>
          <w:tcPr>
            <w:tcW w:w="988" w:type="dxa"/>
          </w:tcPr>
          <w:p w14:paraId="4A952E47" w14:textId="28071DD5" w:rsidR="00670952" w:rsidRDefault="00670952" w:rsidP="008579B3">
            <w:r>
              <w:t>14</w:t>
            </w:r>
          </w:p>
        </w:tc>
        <w:tc>
          <w:tcPr>
            <w:tcW w:w="8028" w:type="dxa"/>
          </w:tcPr>
          <w:p w14:paraId="581D48B0" w14:textId="19A9E326" w:rsidR="00670952" w:rsidRDefault="00670952" w:rsidP="00670952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Article 1</w:t>
            </w:r>
            <w:r>
              <w:rPr>
                <w:rFonts w:ascii="Aptos Narrow" w:hAnsi="Aptos Narrow"/>
                <w:color w:val="000000"/>
              </w:rPr>
              <w:t>3</w:t>
            </w:r>
            <w:r>
              <w:rPr>
                <w:rFonts w:ascii="Aptos Narrow" w:hAnsi="Aptos Narrow"/>
                <w:color w:val="000000"/>
              </w:rPr>
              <w:t xml:space="preserve"> </w:t>
            </w:r>
            <w:r w:rsidR="00312E8B">
              <w:rPr>
                <w:rFonts w:ascii="Aptos Narrow" w:hAnsi="Aptos Narrow"/>
                <w:color w:val="000000"/>
              </w:rPr>
              <w:t>re-numbered as Article</w:t>
            </w:r>
            <w:r>
              <w:rPr>
                <w:rFonts w:ascii="Aptos Narrow" w:hAnsi="Aptos Narrow"/>
                <w:color w:val="000000"/>
              </w:rPr>
              <w:t xml:space="preserve"> 1</w:t>
            </w:r>
            <w:r>
              <w:rPr>
                <w:rFonts w:ascii="Aptos Narrow" w:hAnsi="Aptos Narrow"/>
                <w:color w:val="000000"/>
              </w:rPr>
              <w:t>4</w:t>
            </w:r>
            <w:r>
              <w:rPr>
                <w:rFonts w:ascii="Aptos Narrow" w:hAnsi="Aptos Narrow"/>
                <w:color w:val="000000"/>
              </w:rPr>
              <w:t>.</w:t>
            </w:r>
          </w:p>
        </w:tc>
      </w:tr>
      <w:tr w:rsidR="00670952" w14:paraId="24949AB2" w14:textId="77777777" w:rsidTr="00EA53AA">
        <w:trPr>
          <w:trHeight w:val="562"/>
        </w:trPr>
        <w:tc>
          <w:tcPr>
            <w:tcW w:w="988" w:type="dxa"/>
          </w:tcPr>
          <w:p w14:paraId="21030D14" w14:textId="4C51A654" w:rsidR="00670952" w:rsidRDefault="00670952" w:rsidP="008579B3">
            <w:r>
              <w:t>14.2</w:t>
            </w:r>
          </w:p>
        </w:tc>
        <w:tc>
          <w:tcPr>
            <w:tcW w:w="8028" w:type="dxa"/>
          </w:tcPr>
          <w:p w14:paraId="166E8A0E" w14:textId="5A404718" w:rsidR="00670952" w:rsidRDefault="00670952" w:rsidP="00670952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The w</w:t>
            </w:r>
            <w:r>
              <w:rPr>
                <w:rFonts w:ascii="Aptos Narrow" w:hAnsi="Aptos Narrow"/>
                <w:color w:val="000000"/>
              </w:rPr>
              <w:t xml:space="preserve">ording </w:t>
            </w:r>
            <w:r>
              <w:rPr>
                <w:rFonts w:ascii="Aptos Narrow" w:hAnsi="Aptos Narrow"/>
                <w:color w:val="000000"/>
              </w:rPr>
              <w:t xml:space="preserve">of </w:t>
            </w:r>
            <w:r w:rsidR="00D33652">
              <w:rPr>
                <w:rFonts w:ascii="Aptos Narrow" w:hAnsi="Aptos Narrow"/>
                <w:color w:val="000000"/>
              </w:rPr>
              <w:t>Article</w:t>
            </w:r>
            <w:r>
              <w:rPr>
                <w:rFonts w:ascii="Aptos Narrow" w:hAnsi="Aptos Narrow"/>
                <w:color w:val="000000"/>
              </w:rPr>
              <w:t xml:space="preserve"> 14.2 (previously </w:t>
            </w:r>
            <w:r w:rsidR="00D33652">
              <w:rPr>
                <w:rFonts w:ascii="Aptos Narrow" w:hAnsi="Aptos Narrow"/>
                <w:color w:val="000000"/>
              </w:rPr>
              <w:t>Article</w:t>
            </w:r>
            <w:r w:rsidR="00312E8B">
              <w:rPr>
                <w:rFonts w:ascii="Aptos Narrow" w:hAnsi="Aptos Narrow"/>
                <w:color w:val="00000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 xml:space="preserve">13.2) </w:t>
            </w:r>
            <w:r>
              <w:rPr>
                <w:rFonts w:ascii="Aptos Narrow" w:hAnsi="Aptos Narrow"/>
                <w:color w:val="000000"/>
              </w:rPr>
              <w:t xml:space="preserve">updated to clarify that </w:t>
            </w:r>
            <w:r w:rsidR="00312E8B">
              <w:rPr>
                <w:rFonts w:ascii="Aptos Narrow" w:hAnsi="Aptos Narrow"/>
                <w:color w:val="000000"/>
              </w:rPr>
              <w:t>when</w:t>
            </w:r>
            <w:r>
              <w:rPr>
                <w:rFonts w:ascii="Aptos Narrow" w:hAnsi="Aptos Narrow"/>
                <w:color w:val="000000"/>
              </w:rPr>
              <w:t xml:space="preserve"> a member </w:t>
            </w:r>
            <w:r>
              <w:rPr>
                <w:rFonts w:ascii="Aptos Narrow" w:hAnsi="Aptos Narrow"/>
                <w:color w:val="000000"/>
              </w:rPr>
              <w:t xml:space="preserve">no longer </w:t>
            </w:r>
            <w:r>
              <w:rPr>
                <w:rFonts w:ascii="Aptos Narrow" w:hAnsi="Aptos Narrow"/>
                <w:color w:val="000000"/>
              </w:rPr>
              <w:t xml:space="preserve">meets the criteria of being an Ordinary </w:t>
            </w:r>
            <w:proofErr w:type="gramStart"/>
            <w:r>
              <w:rPr>
                <w:rFonts w:ascii="Aptos Narrow" w:hAnsi="Aptos Narrow"/>
                <w:color w:val="000000"/>
              </w:rPr>
              <w:t>member</w:t>
            </w:r>
            <w:proofErr w:type="gramEnd"/>
            <w:r>
              <w:rPr>
                <w:rFonts w:ascii="Aptos Narrow" w:hAnsi="Aptos Narrow"/>
                <w:color w:val="000000"/>
              </w:rPr>
              <w:t xml:space="preserve"> they would become an Associate Member e.g. if they no longer reside in the KA9 postcode area.</w:t>
            </w:r>
          </w:p>
          <w:p w14:paraId="0D197470" w14:textId="6FA822BA" w:rsidR="00670952" w:rsidRDefault="00670952" w:rsidP="00670952">
            <w:pPr>
              <w:rPr>
                <w:rFonts w:ascii="Aptos Narrow" w:hAnsi="Aptos Narrow"/>
                <w:color w:val="000000"/>
              </w:rPr>
            </w:pPr>
          </w:p>
        </w:tc>
      </w:tr>
      <w:tr w:rsidR="003228E5" w14:paraId="25E7FC79" w14:textId="77777777" w:rsidTr="00EA53AA">
        <w:trPr>
          <w:trHeight w:val="562"/>
        </w:trPr>
        <w:tc>
          <w:tcPr>
            <w:tcW w:w="988" w:type="dxa"/>
          </w:tcPr>
          <w:p w14:paraId="1F29B317" w14:textId="7EA7A484" w:rsidR="003228E5" w:rsidRDefault="003228E5" w:rsidP="008579B3">
            <w:r w:rsidRPr="00192452">
              <w:lastRenderedPageBreak/>
              <w:t>14.3</w:t>
            </w:r>
          </w:p>
        </w:tc>
        <w:tc>
          <w:tcPr>
            <w:tcW w:w="8028" w:type="dxa"/>
          </w:tcPr>
          <w:p w14:paraId="1DC83D65" w14:textId="2ACDA9EA" w:rsidR="003228E5" w:rsidRDefault="00D33652" w:rsidP="00670952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Article</w:t>
            </w:r>
            <w:r w:rsidR="00312E8B">
              <w:rPr>
                <w:rFonts w:ascii="Arial" w:eastAsia="Arial" w:hAnsi="Arial" w:cs="Arial"/>
                <w:sz w:val="21"/>
              </w:rPr>
              <w:t xml:space="preserve"> 14.3 amended to reflect t</w:t>
            </w:r>
            <w:r w:rsidR="003228E5">
              <w:rPr>
                <w:rFonts w:ascii="Arial" w:eastAsia="Arial" w:hAnsi="Arial" w:cs="Arial"/>
                <w:sz w:val="21"/>
              </w:rPr>
              <w:t>he period a member</w:t>
            </w:r>
            <w:r w:rsidR="003228E5">
              <w:rPr>
                <w:rFonts w:ascii="Arial" w:eastAsia="Arial" w:hAnsi="Arial" w:cs="Arial"/>
                <w:sz w:val="21"/>
              </w:rPr>
              <w:t xml:space="preserve"> </w:t>
            </w:r>
            <w:r w:rsidR="00312E8B">
              <w:rPr>
                <w:rFonts w:ascii="Arial" w:eastAsia="Arial" w:hAnsi="Arial" w:cs="Arial"/>
                <w:sz w:val="21"/>
              </w:rPr>
              <w:t>is</w:t>
            </w:r>
            <w:r w:rsidR="003228E5">
              <w:rPr>
                <w:rFonts w:ascii="Arial" w:eastAsia="Arial" w:hAnsi="Arial" w:cs="Arial"/>
                <w:sz w:val="21"/>
              </w:rPr>
              <w:t xml:space="preserve"> </w:t>
            </w:r>
            <w:r w:rsidR="00312E8B">
              <w:rPr>
                <w:rFonts w:ascii="Arial" w:eastAsia="Arial" w:hAnsi="Arial" w:cs="Arial"/>
                <w:sz w:val="21"/>
              </w:rPr>
              <w:t>allowed</w:t>
            </w:r>
            <w:r w:rsidR="003228E5">
              <w:rPr>
                <w:rFonts w:ascii="Arial" w:eastAsia="Arial" w:hAnsi="Arial" w:cs="Arial"/>
                <w:sz w:val="21"/>
              </w:rPr>
              <w:t xml:space="preserve"> to pay their</w:t>
            </w:r>
            <w:r w:rsidR="003228E5">
              <w:rPr>
                <w:rFonts w:ascii="Arial" w:eastAsia="Arial" w:hAnsi="Arial" w:cs="Arial"/>
                <w:sz w:val="21"/>
              </w:rPr>
              <w:t xml:space="preserve"> </w:t>
            </w:r>
            <w:r w:rsidR="003228E5">
              <w:rPr>
                <w:rFonts w:ascii="Arial" w:eastAsia="Arial" w:hAnsi="Arial" w:cs="Arial"/>
                <w:sz w:val="21"/>
              </w:rPr>
              <w:t xml:space="preserve">annual </w:t>
            </w:r>
            <w:r w:rsidR="003228E5">
              <w:rPr>
                <w:rFonts w:ascii="Arial" w:eastAsia="Arial" w:hAnsi="Arial" w:cs="Arial"/>
                <w:sz w:val="21"/>
              </w:rPr>
              <w:t xml:space="preserve">subscription </w:t>
            </w:r>
            <w:r w:rsidR="003228E5">
              <w:rPr>
                <w:rFonts w:ascii="Arial" w:eastAsia="Arial" w:hAnsi="Arial" w:cs="Arial"/>
                <w:sz w:val="21"/>
              </w:rPr>
              <w:t xml:space="preserve">is </w:t>
            </w:r>
            <w:r w:rsidR="00312E8B">
              <w:rPr>
                <w:rFonts w:ascii="Arial" w:eastAsia="Arial" w:hAnsi="Arial" w:cs="Arial"/>
                <w:sz w:val="21"/>
              </w:rPr>
              <w:t>reduced</w:t>
            </w:r>
            <w:r w:rsidR="003228E5">
              <w:rPr>
                <w:rFonts w:ascii="Arial" w:eastAsia="Arial" w:hAnsi="Arial" w:cs="Arial"/>
                <w:sz w:val="21"/>
              </w:rPr>
              <w:t xml:space="preserve"> from six months to </w:t>
            </w:r>
            <w:r w:rsidR="003228E5">
              <w:rPr>
                <w:rFonts w:ascii="Arial" w:eastAsia="Arial" w:hAnsi="Arial" w:cs="Arial"/>
                <w:sz w:val="21"/>
              </w:rPr>
              <w:t>two month</w:t>
            </w:r>
            <w:r w:rsidR="003228E5" w:rsidRPr="003228E5">
              <w:rPr>
                <w:rFonts w:ascii="Arial" w:eastAsia="Arial" w:hAnsi="Arial" w:cs="Arial"/>
                <w:sz w:val="21"/>
              </w:rPr>
              <w:t>s</w:t>
            </w:r>
            <w:r w:rsidR="003228E5"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522D2F" w14:paraId="2828679D" w14:textId="77777777" w:rsidTr="00EA53AA">
        <w:trPr>
          <w:trHeight w:val="562"/>
        </w:trPr>
        <w:tc>
          <w:tcPr>
            <w:tcW w:w="988" w:type="dxa"/>
          </w:tcPr>
          <w:p w14:paraId="2F96C698" w14:textId="114B4DB7" w:rsidR="00522D2F" w:rsidRDefault="00522D2F" w:rsidP="008579B3">
            <w:r>
              <w:t>14.4</w:t>
            </w:r>
          </w:p>
        </w:tc>
        <w:tc>
          <w:tcPr>
            <w:tcW w:w="8028" w:type="dxa"/>
          </w:tcPr>
          <w:p w14:paraId="464D8D09" w14:textId="20EC055E" w:rsidR="00522D2F" w:rsidRDefault="00D33652" w:rsidP="00522D2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Article</w:t>
            </w:r>
            <w:r w:rsidR="00522D2F">
              <w:rPr>
                <w:rFonts w:ascii="Aptos Narrow" w:hAnsi="Aptos Narrow"/>
                <w:color w:val="000000"/>
              </w:rPr>
              <w:t xml:space="preserve"> 14.4 (previously </w:t>
            </w:r>
            <w:r w:rsidR="00312E8B">
              <w:rPr>
                <w:rFonts w:ascii="Aptos Narrow" w:hAnsi="Aptos Narrow"/>
                <w:color w:val="000000"/>
              </w:rPr>
              <w:t xml:space="preserve">Clause </w:t>
            </w:r>
            <w:r w:rsidR="00522D2F">
              <w:rPr>
                <w:rFonts w:ascii="Aptos Narrow" w:hAnsi="Aptos Narrow"/>
                <w:color w:val="000000"/>
              </w:rPr>
              <w:t xml:space="preserve">13.4) </w:t>
            </w:r>
            <w:r w:rsidR="00312E8B">
              <w:rPr>
                <w:rFonts w:ascii="Aptos Narrow" w:hAnsi="Aptos Narrow"/>
                <w:color w:val="000000"/>
              </w:rPr>
              <w:t xml:space="preserve">is </w:t>
            </w:r>
            <w:r w:rsidR="00522D2F">
              <w:rPr>
                <w:rFonts w:ascii="Aptos Narrow" w:hAnsi="Aptos Narrow"/>
                <w:color w:val="000000"/>
              </w:rPr>
              <w:t xml:space="preserve">updated </w:t>
            </w:r>
            <w:r w:rsidR="00312E8B">
              <w:rPr>
                <w:rFonts w:ascii="Aptos Narrow" w:hAnsi="Aptos Narrow"/>
                <w:color w:val="000000"/>
              </w:rPr>
              <w:t>add a</w:t>
            </w:r>
            <w:r w:rsidR="00522D2F">
              <w:rPr>
                <w:rFonts w:ascii="Aptos Narrow" w:hAnsi="Aptos Narrow"/>
                <w:color w:val="000000"/>
              </w:rPr>
              <w:t xml:space="preserve"> reference to the Companies Complaints</w:t>
            </w:r>
            <w:r w:rsidR="00522D2F">
              <w:rPr>
                <w:rFonts w:ascii="Aptos Narrow" w:hAnsi="Aptos Narrow"/>
                <w:color w:val="000000"/>
              </w:rPr>
              <w:t xml:space="preserve"> Procedure.</w:t>
            </w:r>
          </w:p>
        </w:tc>
      </w:tr>
      <w:tr w:rsidR="00522D2F" w14:paraId="2454CD8B" w14:textId="77777777" w:rsidTr="00EA53AA">
        <w:trPr>
          <w:trHeight w:val="562"/>
        </w:trPr>
        <w:tc>
          <w:tcPr>
            <w:tcW w:w="988" w:type="dxa"/>
          </w:tcPr>
          <w:p w14:paraId="2F1A8DC9" w14:textId="4D8BF920" w:rsidR="00522D2F" w:rsidRDefault="00522D2F" w:rsidP="008579B3">
            <w:r>
              <w:t>17.2</w:t>
            </w:r>
          </w:p>
        </w:tc>
        <w:tc>
          <w:tcPr>
            <w:tcW w:w="8028" w:type="dxa"/>
          </w:tcPr>
          <w:p w14:paraId="28BE371B" w14:textId="44E15954" w:rsidR="00522D2F" w:rsidRDefault="00D33652" w:rsidP="00522D2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Article</w:t>
            </w:r>
            <w:r w:rsidR="00192452">
              <w:rPr>
                <w:rFonts w:ascii="Aptos Narrow" w:hAnsi="Aptos Narrow"/>
                <w:color w:val="000000"/>
              </w:rPr>
              <w:t xml:space="preserve"> 17.2 </w:t>
            </w:r>
            <w:r w:rsidR="00312E8B">
              <w:rPr>
                <w:rFonts w:ascii="Aptos Narrow" w:hAnsi="Aptos Narrow"/>
                <w:color w:val="000000"/>
              </w:rPr>
              <w:t xml:space="preserve">is </w:t>
            </w:r>
            <w:r w:rsidR="00522D2F">
              <w:rPr>
                <w:rFonts w:ascii="Aptos Narrow" w:hAnsi="Aptos Narrow"/>
                <w:color w:val="000000"/>
              </w:rPr>
              <w:t xml:space="preserve">updated to explain </w:t>
            </w:r>
            <w:r w:rsidR="00312E8B">
              <w:rPr>
                <w:rFonts w:ascii="Aptos Narrow" w:hAnsi="Aptos Narrow"/>
                <w:color w:val="000000"/>
              </w:rPr>
              <w:t xml:space="preserve">when issuing members with notice </w:t>
            </w:r>
            <w:r w:rsidR="00522D2F">
              <w:rPr>
                <w:rFonts w:ascii="Aptos Narrow" w:hAnsi="Aptos Narrow"/>
                <w:color w:val="000000"/>
              </w:rPr>
              <w:t xml:space="preserve">of an AGM </w:t>
            </w:r>
            <w:r w:rsidR="00312E8B">
              <w:rPr>
                <w:rFonts w:ascii="Aptos Narrow" w:hAnsi="Aptos Narrow"/>
                <w:color w:val="000000"/>
              </w:rPr>
              <w:t>it will</w:t>
            </w:r>
            <w:r w:rsidR="00522D2F">
              <w:rPr>
                <w:rFonts w:ascii="Aptos Narrow" w:hAnsi="Aptos Narrow"/>
                <w:color w:val="000000"/>
              </w:rPr>
              <w:t xml:space="preserve"> include the Chairperson’s Report.</w:t>
            </w:r>
          </w:p>
        </w:tc>
      </w:tr>
      <w:tr w:rsidR="00522D2F" w14:paraId="37F7B72F" w14:textId="77777777" w:rsidTr="00EA53AA">
        <w:trPr>
          <w:trHeight w:val="562"/>
        </w:trPr>
        <w:tc>
          <w:tcPr>
            <w:tcW w:w="988" w:type="dxa"/>
          </w:tcPr>
          <w:p w14:paraId="70508291" w14:textId="6AC9CE86" w:rsidR="00522D2F" w:rsidRDefault="00BE0923" w:rsidP="008579B3">
            <w:r>
              <w:t>22.4</w:t>
            </w:r>
          </w:p>
        </w:tc>
        <w:tc>
          <w:tcPr>
            <w:tcW w:w="8028" w:type="dxa"/>
          </w:tcPr>
          <w:p w14:paraId="5BADDCAD" w14:textId="12DB99E9" w:rsidR="00522D2F" w:rsidRDefault="00D33652" w:rsidP="00522D2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Article</w:t>
            </w:r>
            <w:r w:rsidR="00312E8B">
              <w:rPr>
                <w:rFonts w:ascii="Aptos Narrow" w:hAnsi="Aptos Narrow"/>
                <w:color w:val="000000"/>
              </w:rPr>
              <w:t xml:space="preserve"> 22.4</w:t>
            </w:r>
            <w:r w:rsidR="00BE0923">
              <w:rPr>
                <w:rFonts w:ascii="Aptos Narrow" w:hAnsi="Aptos Narrow"/>
                <w:color w:val="000000"/>
              </w:rPr>
              <w:t xml:space="preserve"> updated to include the option </w:t>
            </w:r>
            <w:r w:rsidR="00312E8B">
              <w:rPr>
                <w:rFonts w:ascii="Aptos Narrow" w:hAnsi="Aptos Narrow"/>
                <w:color w:val="000000"/>
              </w:rPr>
              <w:t>of</w:t>
            </w:r>
            <w:r w:rsidR="00BE0923">
              <w:rPr>
                <w:rFonts w:ascii="Aptos Narrow" w:hAnsi="Aptos Narrow"/>
                <w:color w:val="000000"/>
              </w:rPr>
              <w:t xml:space="preserve"> e</w:t>
            </w:r>
            <w:r w:rsidR="00BE0923" w:rsidRPr="00BE0923">
              <w:rPr>
                <w:rFonts w:ascii="Aptos Narrow" w:hAnsi="Aptos Narrow"/>
                <w:color w:val="000000"/>
              </w:rPr>
              <w:t>lectronic voting via the members online Broadway</w:t>
            </w:r>
            <w:r w:rsidR="00192452">
              <w:rPr>
                <w:rFonts w:ascii="Aptos Narrow" w:hAnsi="Aptos Narrow"/>
                <w:color w:val="000000"/>
              </w:rPr>
              <w:t xml:space="preserve"> Membership A</w:t>
            </w:r>
            <w:r w:rsidR="00BE0923" w:rsidRPr="00BE0923">
              <w:rPr>
                <w:rFonts w:ascii="Aptos Narrow" w:hAnsi="Aptos Narrow"/>
                <w:color w:val="000000"/>
              </w:rPr>
              <w:t>ccount.</w:t>
            </w:r>
          </w:p>
        </w:tc>
      </w:tr>
      <w:tr w:rsidR="00BE0923" w14:paraId="57DACED0" w14:textId="77777777" w:rsidTr="00EA53AA">
        <w:trPr>
          <w:trHeight w:val="562"/>
        </w:trPr>
        <w:tc>
          <w:tcPr>
            <w:tcW w:w="988" w:type="dxa"/>
          </w:tcPr>
          <w:p w14:paraId="5F8145F9" w14:textId="0665E8A2" w:rsidR="00BE0923" w:rsidRDefault="00BE0923" w:rsidP="008579B3">
            <w:r>
              <w:t>24.2</w:t>
            </w:r>
          </w:p>
        </w:tc>
        <w:tc>
          <w:tcPr>
            <w:tcW w:w="8028" w:type="dxa"/>
          </w:tcPr>
          <w:p w14:paraId="7D6647BB" w14:textId="4AC60324" w:rsidR="00BE0923" w:rsidRDefault="00423F9B" w:rsidP="00192452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Clause</w:t>
            </w:r>
            <w:r w:rsidR="00192452">
              <w:rPr>
                <w:rFonts w:ascii="Aptos Narrow" w:hAnsi="Aptos Narrow"/>
                <w:color w:val="000000"/>
              </w:rPr>
              <w:t xml:space="preserve"> 24.2 updated to explain th</w:t>
            </w:r>
            <w:r w:rsidR="00BE0923">
              <w:rPr>
                <w:rFonts w:ascii="Aptos Narrow" w:hAnsi="Aptos Narrow"/>
                <w:color w:val="000000"/>
              </w:rPr>
              <w:t xml:space="preserve">e process of electing Directors updated to reflect the procedure </w:t>
            </w:r>
            <w:r w:rsidR="00BE0923">
              <w:rPr>
                <w:rFonts w:ascii="Aptos Narrow" w:hAnsi="Aptos Narrow"/>
                <w:color w:val="000000"/>
              </w:rPr>
              <w:t>adopted</w:t>
            </w:r>
            <w:r w:rsidR="00BE0923">
              <w:rPr>
                <w:rFonts w:ascii="Aptos Narrow" w:hAnsi="Aptos Narrow"/>
                <w:color w:val="000000"/>
              </w:rPr>
              <w:t xml:space="preserve"> at the AGM.</w:t>
            </w:r>
            <w:r w:rsidR="00192452">
              <w:rPr>
                <w:rFonts w:ascii="Aptos Narrow" w:hAnsi="Aptos Narrow"/>
                <w:color w:val="000000"/>
              </w:rPr>
              <w:t xml:space="preserve"> This being, </w:t>
            </w:r>
            <w:r w:rsidR="00192452">
              <w:rPr>
                <w:rFonts w:ascii="Arial" w:eastAsia="Arial" w:hAnsi="Arial" w:cs="Arial"/>
                <w:sz w:val="21"/>
              </w:rPr>
              <w:t xml:space="preserve">Elected Directors must </w:t>
            </w:r>
            <w:r w:rsidR="00192452" w:rsidRPr="00221BAC">
              <w:rPr>
                <w:rFonts w:ascii="Arial" w:eastAsia="Arial" w:hAnsi="Arial" w:cs="Arial"/>
                <w:sz w:val="21"/>
              </w:rPr>
              <w:t xml:space="preserve">be proposed by one Ordinary Member and seconded by </w:t>
            </w:r>
            <w:r w:rsidR="00192452">
              <w:rPr>
                <w:rFonts w:ascii="Arial" w:eastAsia="Arial" w:hAnsi="Arial" w:cs="Arial"/>
                <w:sz w:val="21"/>
              </w:rPr>
              <w:t>a second</w:t>
            </w:r>
            <w:r w:rsidR="00192452" w:rsidRPr="00221BAC">
              <w:rPr>
                <w:rFonts w:ascii="Arial" w:eastAsia="Arial" w:hAnsi="Arial" w:cs="Arial"/>
                <w:sz w:val="21"/>
              </w:rPr>
              <w:t xml:space="preserve"> Ordinary Member.  </w:t>
            </w:r>
          </w:p>
        </w:tc>
      </w:tr>
      <w:tr w:rsidR="00BE0923" w14:paraId="57FFF69B" w14:textId="77777777" w:rsidTr="00EA53AA">
        <w:trPr>
          <w:trHeight w:val="562"/>
        </w:trPr>
        <w:tc>
          <w:tcPr>
            <w:tcW w:w="988" w:type="dxa"/>
          </w:tcPr>
          <w:p w14:paraId="27259848" w14:textId="0878FE09" w:rsidR="00BE0923" w:rsidRDefault="00BE0923" w:rsidP="008579B3">
            <w:r>
              <w:t>24.5</w:t>
            </w:r>
          </w:p>
        </w:tc>
        <w:tc>
          <w:tcPr>
            <w:tcW w:w="8028" w:type="dxa"/>
          </w:tcPr>
          <w:p w14:paraId="684FC9DC" w14:textId="20BC4EC0" w:rsidR="00BE0923" w:rsidRDefault="00D33652" w:rsidP="00BE092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Article</w:t>
            </w:r>
            <w:r w:rsidR="00192452">
              <w:rPr>
                <w:rFonts w:ascii="Aptos Narrow" w:hAnsi="Aptos Narrow"/>
                <w:color w:val="000000"/>
              </w:rPr>
              <w:t xml:space="preserve"> 24.5 </w:t>
            </w:r>
            <w:r w:rsidR="00423F9B">
              <w:rPr>
                <w:rFonts w:ascii="Aptos Narrow" w:hAnsi="Aptos Narrow"/>
                <w:color w:val="000000"/>
              </w:rPr>
              <w:t xml:space="preserve">is </w:t>
            </w:r>
            <w:r w:rsidR="00BE0923" w:rsidRPr="00BE0923">
              <w:rPr>
                <w:rFonts w:ascii="Aptos Narrow" w:hAnsi="Aptos Narrow"/>
                <w:color w:val="000000"/>
              </w:rPr>
              <w:t>amended to allow Directors to seek re</w:t>
            </w:r>
            <w:r w:rsidR="00BE0923">
              <w:rPr>
                <w:rFonts w:ascii="Aptos Narrow" w:hAnsi="Aptos Narrow"/>
                <w:color w:val="000000"/>
              </w:rPr>
              <w:t>-e</w:t>
            </w:r>
            <w:r w:rsidR="00BE0923" w:rsidRPr="00BE0923">
              <w:rPr>
                <w:rFonts w:ascii="Aptos Narrow" w:hAnsi="Aptos Narrow"/>
                <w:color w:val="000000"/>
              </w:rPr>
              <w:t xml:space="preserve">lection for a maximum of 9 consecutive years. A maximum </w:t>
            </w:r>
            <w:r w:rsidR="00BE0923" w:rsidRPr="00BE0923">
              <w:rPr>
                <w:rFonts w:ascii="Aptos Narrow" w:hAnsi="Aptos Narrow"/>
                <w:color w:val="000000"/>
              </w:rPr>
              <w:t>nine-year</w:t>
            </w:r>
            <w:r w:rsidR="00BE0923" w:rsidRPr="00BE0923">
              <w:rPr>
                <w:rFonts w:ascii="Aptos Narrow" w:hAnsi="Aptos Narrow"/>
                <w:color w:val="000000"/>
              </w:rPr>
              <w:t xml:space="preserve"> term is typical for </w:t>
            </w:r>
            <w:proofErr w:type="gramStart"/>
            <w:r w:rsidR="00BE0923" w:rsidRPr="00BE0923">
              <w:rPr>
                <w:rFonts w:ascii="Aptos Narrow" w:hAnsi="Aptos Narrow"/>
                <w:color w:val="000000"/>
              </w:rPr>
              <w:t>the majority of</w:t>
            </w:r>
            <w:proofErr w:type="gramEnd"/>
            <w:r w:rsidR="00BE0923" w:rsidRPr="00BE0923">
              <w:rPr>
                <w:rFonts w:ascii="Aptos Narrow" w:hAnsi="Aptos Narrow"/>
                <w:color w:val="000000"/>
              </w:rPr>
              <w:t xml:space="preserve"> charity enterprises.  A critical risk facing the delivery of the Broadway project is continuity.  A maximum </w:t>
            </w:r>
            <w:r w:rsidR="00BE0923" w:rsidRPr="00BE0923">
              <w:rPr>
                <w:rFonts w:ascii="Aptos Narrow" w:hAnsi="Aptos Narrow"/>
                <w:color w:val="000000"/>
              </w:rPr>
              <w:t>nine-year</w:t>
            </w:r>
            <w:r w:rsidR="00BE0923" w:rsidRPr="00BE0923">
              <w:rPr>
                <w:rFonts w:ascii="Aptos Narrow" w:hAnsi="Aptos Narrow"/>
                <w:color w:val="000000"/>
              </w:rPr>
              <w:t xml:space="preserve"> term allows specialist expertise to remain available to the Board.  Board members still </w:t>
            </w:r>
            <w:proofErr w:type="gramStart"/>
            <w:r w:rsidR="00BE0923" w:rsidRPr="00BE0923">
              <w:rPr>
                <w:rFonts w:ascii="Aptos Narrow" w:hAnsi="Aptos Narrow"/>
                <w:color w:val="000000"/>
              </w:rPr>
              <w:t>have to</w:t>
            </w:r>
            <w:proofErr w:type="gramEnd"/>
            <w:r w:rsidR="00BE0923" w:rsidRPr="00BE0923">
              <w:rPr>
                <w:rFonts w:ascii="Aptos Narrow" w:hAnsi="Aptos Narrow"/>
                <w:color w:val="000000"/>
              </w:rPr>
              <w:t xml:space="preserve"> be elected to the Board annually at the AGM</w:t>
            </w:r>
          </w:p>
        </w:tc>
      </w:tr>
      <w:tr w:rsidR="00BE0923" w14:paraId="2E6B1F82" w14:textId="77777777" w:rsidTr="00EA53AA">
        <w:trPr>
          <w:trHeight w:val="562"/>
        </w:trPr>
        <w:tc>
          <w:tcPr>
            <w:tcW w:w="988" w:type="dxa"/>
          </w:tcPr>
          <w:p w14:paraId="004CD67A" w14:textId="197E82CC" w:rsidR="00BE0923" w:rsidRDefault="00BE0923" w:rsidP="008579B3">
            <w:r>
              <w:t>24.6</w:t>
            </w:r>
          </w:p>
        </w:tc>
        <w:tc>
          <w:tcPr>
            <w:tcW w:w="8028" w:type="dxa"/>
          </w:tcPr>
          <w:p w14:paraId="67B05229" w14:textId="0C46B8D9" w:rsidR="00BE0923" w:rsidRDefault="00D33652" w:rsidP="00BE092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Article</w:t>
            </w:r>
            <w:r w:rsidR="00423F9B">
              <w:rPr>
                <w:rFonts w:ascii="Aptos Narrow" w:hAnsi="Aptos Narrow"/>
                <w:color w:val="000000"/>
              </w:rPr>
              <w:t xml:space="preserve"> 24.6 is </w:t>
            </w:r>
            <w:r w:rsidR="00BE0923">
              <w:rPr>
                <w:rFonts w:ascii="Aptos Narrow" w:hAnsi="Aptos Narrow"/>
                <w:color w:val="000000"/>
              </w:rPr>
              <w:t xml:space="preserve">updated to allow Directors </w:t>
            </w:r>
            <w:r w:rsidR="00BE0923">
              <w:rPr>
                <w:rFonts w:ascii="Aptos Narrow" w:hAnsi="Aptos Narrow"/>
                <w:color w:val="000000"/>
              </w:rPr>
              <w:t>to</w:t>
            </w:r>
            <w:r w:rsidR="00BE0923">
              <w:rPr>
                <w:rFonts w:ascii="Aptos Narrow" w:hAnsi="Aptos Narrow"/>
                <w:color w:val="000000"/>
              </w:rPr>
              <w:t xml:space="preserve"> be eligible for re</w:t>
            </w:r>
            <w:r w:rsidR="00BE0923">
              <w:rPr>
                <w:rFonts w:ascii="Aptos Narrow" w:hAnsi="Aptos Narrow"/>
                <w:color w:val="000000"/>
              </w:rPr>
              <w:t>-e</w:t>
            </w:r>
            <w:r w:rsidR="00BE0923">
              <w:rPr>
                <w:rFonts w:ascii="Aptos Narrow" w:hAnsi="Aptos Narrow"/>
                <w:color w:val="000000"/>
              </w:rPr>
              <w:t xml:space="preserve">lection after the maximum term if no member is willing to apply, the retiring Director </w:t>
            </w:r>
            <w:r w:rsidR="00BE0923">
              <w:rPr>
                <w:rFonts w:ascii="Aptos Narrow" w:hAnsi="Aptos Narrow"/>
                <w:color w:val="000000"/>
              </w:rPr>
              <w:t>agrees,</w:t>
            </w:r>
            <w:r w:rsidR="00BE0923">
              <w:rPr>
                <w:rFonts w:ascii="Aptos Narrow" w:hAnsi="Aptos Narrow"/>
                <w:color w:val="000000"/>
              </w:rPr>
              <w:t xml:space="preserve"> and the remaining </w:t>
            </w:r>
            <w:r w:rsidR="00BE0923">
              <w:rPr>
                <w:rFonts w:ascii="Aptos Narrow" w:hAnsi="Aptos Narrow"/>
                <w:color w:val="000000"/>
              </w:rPr>
              <w:t>Director’s</w:t>
            </w:r>
            <w:r w:rsidR="00BE0923">
              <w:rPr>
                <w:rFonts w:ascii="Aptos Narrow" w:hAnsi="Aptos Narrow"/>
                <w:color w:val="000000"/>
              </w:rPr>
              <w:t xml:space="preserve"> agree.</w:t>
            </w:r>
          </w:p>
          <w:p w14:paraId="1ECCB5E7" w14:textId="77777777" w:rsidR="00BE0923" w:rsidRPr="00BE0923" w:rsidRDefault="00BE0923" w:rsidP="00BE0923">
            <w:pPr>
              <w:rPr>
                <w:rFonts w:ascii="Aptos Narrow" w:hAnsi="Aptos Narrow"/>
                <w:color w:val="000000"/>
              </w:rPr>
            </w:pPr>
          </w:p>
        </w:tc>
      </w:tr>
      <w:tr w:rsidR="00BE0923" w14:paraId="6D5167C9" w14:textId="77777777" w:rsidTr="00EA53AA">
        <w:trPr>
          <w:trHeight w:val="562"/>
        </w:trPr>
        <w:tc>
          <w:tcPr>
            <w:tcW w:w="988" w:type="dxa"/>
          </w:tcPr>
          <w:p w14:paraId="30422443" w14:textId="075A4889" w:rsidR="00BE0923" w:rsidRDefault="00BE0923" w:rsidP="008579B3">
            <w:r>
              <w:t>25.3</w:t>
            </w:r>
          </w:p>
        </w:tc>
        <w:tc>
          <w:tcPr>
            <w:tcW w:w="8028" w:type="dxa"/>
          </w:tcPr>
          <w:p w14:paraId="2FC72F59" w14:textId="557BD29B" w:rsidR="00240A6E" w:rsidRDefault="00D33652" w:rsidP="00240A6E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Article</w:t>
            </w:r>
            <w:r w:rsidR="00423F9B">
              <w:rPr>
                <w:rFonts w:ascii="Aptos Narrow" w:hAnsi="Aptos Narrow"/>
                <w:color w:val="000000"/>
              </w:rPr>
              <w:t xml:space="preserve"> 25.4 </w:t>
            </w:r>
            <w:r w:rsidR="00312E8B">
              <w:rPr>
                <w:rFonts w:ascii="Aptos Narrow" w:hAnsi="Aptos Narrow"/>
                <w:color w:val="000000"/>
              </w:rPr>
              <w:t xml:space="preserve">is </w:t>
            </w:r>
            <w:r w:rsidR="00240A6E">
              <w:rPr>
                <w:rFonts w:ascii="Aptos Narrow" w:hAnsi="Aptos Narrow"/>
                <w:color w:val="000000"/>
              </w:rPr>
              <w:t xml:space="preserve">updated to explain Co-Opted Directors </w:t>
            </w:r>
            <w:r w:rsidR="00240A6E">
              <w:rPr>
                <w:rFonts w:ascii="Aptos Narrow" w:hAnsi="Aptos Narrow"/>
                <w:color w:val="000000"/>
              </w:rPr>
              <w:t>cannot vote at the AGM/GM unless as Ordinary Members.</w:t>
            </w:r>
          </w:p>
          <w:p w14:paraId="7475FBFF" w14:textId="60F88DD8" w:rsidR="00BE0923" w:rsidRDefault="00BE0923" w:rsidP="00BE0923">
            <w:pPr>
              <w:rPr>
                <w:rFonts w:ascii="Aptos Narrow" w:hAnsi="Aptos Narrow"/>
                <w:color w:val="000000"/>
              </w:rPr>
            </w:pPr>
          </w:p>
        </w:tc>
      </w:tr>
      <w:tr w:rsidR="00ED1B38" w14:paraId="59B13449" w14:textId="77777777" w:rsidTr="00EA53AA">
        <w:trPr>
          <w:trHeight w:val="562"/>
        </w:trPr>
        <w:tc>
          <w:tcPr>
            <w:tcW w:w="988" w:type="dxa"/>
          </w:tcPr>
          <w:p w14:paraId="6E9061FF" w14:textId="1A995CCC" w:rsidR="00ED1B38" w:rsidRDefault="00ED1B38" w:rsidP="008579B3">
            <w:r>
              <w:t>28.3.4</w:t>
            </w:r>
          </w:p>
        </w:tc>
        <w:tc>
          <w:tcPr>
            <w:tcW w:w="8028" w:type="dxa"/>
          </w:tcPr>
          <w:p w14:paraId="1FEF4B6E" w14:textId="0BF9C05B" w:rsidR="00ED1B38" w:rsidRDefault="00D33652" w:rsidP="00ED1B38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Article</w:t>
            </w:r>
            <w:r w:rsidR="00423F9B">
              <w:rPr>
                <w:rFonts w:ascii="Aptos Narrow" w:hAnsi="Aptos Narrow"/>
                <w:color w:val="000000"/>
              </w:rPr>
              <w:t xml:space="preserve"> 28.3.4</w:t>
            </w:r>
            <w:r w:rsidR="00ED1B38">
              <w:rPr>
                <w:rFonts w:ascii="Aptos Narrow" w:hAnsi="Aptos Narrow"/>
                <w:color w:val="000000"/>
              </w:rPr>
              <w:t xml:space="preserve"> </w:t>
            </w:r>
            <w:r w:rsidR="00312E8B">
              <w:rPr>
                <w:rFonts w:ascii="Aptos Narrow" w:hAnsi="Aptos Narrow"/>
                <w:color w:val="000000"/>
              </w:rPr>
              <w:t xml:space="preserve">is </w:t>
            </w:r>
            <w:r w:rsidR="00ED1B38">
              <w:rPr>
                <w:rFonts w:ascii="Aptos Narrow" w:hAnsi="Aptos Narrow"/>
                <w:color w:val="000000"/>
              </w:rPr>
              <w:t>added</w:t>
            </w:r>
            <w:r w:rsidR="00423F9B">
              <w:rPr>
                <w:rFonts w:ascii="Aptos Narrow" w:hAnsi="Aptos Narrow"/>
                <w:color w:val="000000"/>
              </w:rPr>
              <w:t xml:space="preserve"> to </w:t>
            </w:r>
            <w:r w:rsidR="00ED1B38">
              <w:rPr>
                <w:rFonts w:ascii="Aptos Narrow" w:hAnsi="Aptos Narrow"/>
                <w:color w:val="000000"/>
              </w:rPr>
              <w:t>requir</w:t>
            </w:r>
            <w:r w:rsidR="00423F9B">
              <w:rPr>
                <w:rFonts w:ascii="Aptos Narrow" w:hAnsi="Aptos Narrow"/>
                <w:color w:val="000000"/>
              </w:rPr>
              <w:t xml:space="preserve">e </w:t>
            </w:r>
            <w:r w:rsidR="00ED1B38">
              <w:rPr>
                <w:rFonts w:ascii="Aptos Narrow" w:hAnsi="Aptos Narrow"/>
                <w:color w:val="000000"/>
              </w:rPr>
              <w:t>Directors to comply with all Company policies.</w:t>
            </w:r>
          </w:p>
          <w:p w14:paraId="340C5F4F" w14:textId="77777777" w:rsidR="00ED1B38" w:rsidRDefault="00ED1B38" w:rsidP="00BE0923">
            <w:pPr>
              <w:rPr>
                <w:rFonts w:ascii="Aptos Narrow" w:hAnsi="Aptos Narrow"/>
                <w:color w:val="000000"/>
              </w:rPr>
            </w:pPr>
          </w:p>
        </w:tc>
      </w:tr>
      <w:tr w:rsidR="00ED1B38" w14:paraId="3E7160F6" w14:textId="77777777" w:rsidTr="00EA53AA">
        <w:trPr>
          <w:trHeight w:val="562"/>
        </w:trPr>
        <w:tc>
          <w:tcPr>
            <w:tcW w:w="988" w:type="dxa"/>
          </w:tcPr>
          <w:p w14:paraId="5BD1DC37" w14:textId="6CA60B5F" w:rsidR="00ED1B38" w:rsidRDefault="00ED1B38" w:rsidP="008579B3">
            <w:r>
              <w:t>30.5</w:t>
            </w:r>
          </w:p>
        </w:tc>
        <w:tc>
          <w:tcPr>
            <w:tcW w:w="8028" w:type="dxa"/>
          </w:tcPr>
          <w:p w14:paraId="6ECCADD3" w14:textId="655162D2" w:rsidR="00ED1B38" w:rsidRDefault="00D33652" w:rsidP="00ED1B38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Article</w:t>
            </w:r>
            <w:r w:rsidR="00423F9B">
              <w:rPr>
                <w:rFonts w:ascii="Aptos Narrow" w:hAnsi="Aptos Narrow"/>
                <w:color w:val="000000"/>
              </w:rPr>
              <w:t xml:space="preserve"> 30.5</w:t>
            </w:r>
            <w:r w:rsidR="00ED1B38">
              <w:rPr>
                <w:rFonts w:ascii="Aptos Narrow" w:hAnsi="Aptos Narrow"/>
                <w:color w:val="000000"/>
              </w:rPr>
              <w:t xml:space="preserve"> </w:t>
            </w:r>
            <w:r w:rsidR="00312E8B">
              <w:rPr>
                <w:rFonts w:ascii="Aptos Narrow" w:hAnsi="Aptos Narrow"/>
                <w:color w:val="000000"/>
              </w:rPr>
              <w:t xml:space="preserve">is </w:t>
            </w:r>
            <w:r w:rsidR="00ED1B38">
              <w:rPr>
                <w:rFonts w:ascii="Aptos Narrow" w:hAnsi="Aptos Narrow"/>
                <w:color w:val="000000"/>
              </w:rPr>
              <w:t xml:space="preserve">updated to clarify that meeting </w:t>
            </w:r>
            <w:r w:rsidR="00ED1B38">
              <w:rPr>
                <w:rFonts w:ascii="Aptos Narrow" w:hAnsi="Aptos Narrow"/>
                <w:color w:val="000000"/>
              </w:rPr>
              <w:t>proceedings</w:t>
            </w:r>
            <w:r w:rsidR="00ED1B38">
              <w:rPr>
                <w:rFonts w:ascii="Aptos Narrow" w:hAnsi="Aptos Narrow"/>
                <w:color w:val="000000"/>
              </w:rPr>
              <w:t xml:space="preserve"> may be recorded and stored electronically.</w:t>
            </w:r>
          </w:p>
          <w:p w14:paraId="1CFA03D2" w14:textId="77777777" w:rsidR="00ED1B38" w:rsidRDefault="00ED1B38" w:rsidP="00ED1B38">
            <w:pPr>
              <w:rPr>
                <w:rFonts w:ascii="Aptos Narrow" w:hAnsi="Aptos Narrow"/>
                <w:color w:val="000000"/>
              </w:rPr>
            </w:pPr>
          </w:p>
        </w:tc>
      </w:tr>
      <w:tr w:rsidR="00ED1B38" w14:paraId="06D11D02" w14:textId="77777777" w:rsidTr="00EA53AA">
        <w:trPr>
          <w:trHeight w:val="562"/>
        </w:trPr>
        <w:tc>
          <w:tcPr>
            <w:tcW w:w="988" w:type="dxa"/>
          </w:tcPr>
          <w:p w14:paraId="5A6D4CA9" w14:textId="4E067EE2" w:rsidR="00ED1B38" w:rsidRDefault="00ED1B38" w:rsidP="008579B3">
            <w:r>
              <w:t>32.6</w:t>
            </w:r>
          </w:p>
        </w:tc>
        <w:tc>
          <w:tcPr>
            <w:tcW w:w="8028" w:type="dxa"/>
          </w:tcPr>
          <w:p w14:paraId="3E1C8DB3" w14:textId="5121226F" w:rsidR="00ED1B38" w:rsidRDefault="00D33652" w:rsidP="00ED1B38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Article</w:t>
            </w:r>
            <w:r w:rsidR="00423F9B">
              <w:rPr>
                <w:rFonts w:ascii="Aptos Narrow" w:hAnsi="Aptos Narrow"/>
                <w:color w:val="000000"/>
              </w:rPr>
              <w:t xml:space="preserve"> 32.6 </w:t>
            </w:r>
            <w:r w:rsidR="00312E8B">
              <w:rPr>
                <w:rFonts w:ascii="Aptos Narrow" w:hAnsi="Aptos Narrow"/>
                <w:color w:val="000000"/>
              </w:rPr>
              <w:t xml:space="preserve">is </w:t>
            </w:r>
            <w:r w:rsidR="00ED1B38">
              <w:rPr>
                <w:rFonts w:ascii="Aptos Narrow" w:hAnsi="Aptos Narrow"/>
                <w:color w:val="000000"/>
              </w:rPr>
              <w:t xml:space="preserve">added to </w:t>
            </w:r>
            <w:r w:rsidR="00423F9B">
              <w:rPr>
                <w:rFonts w:ascii="Aptos Narrow" w:hAnsi="Aptos Narrow"/>
                <w:color w:val="000000"/>
              </w:rPr>
              <w:t>allow</w:t>
            </w:r>
            <w:r w:rsidR="00ED1B38">
              <w:rPr>
                <w:rFonts w:ascii="Aptos Narrow" w:hAnsi="Aptos Narrow"/>
                <w:color w:val="000000"/>
              </w:rPr>
              <w:t xml:space="preserve"> </w:t>
            </w:r>
            <w:r w:rsidR="002A17A5">
              <w:rPr>
                <w:rFonts w:ascii="Aptos Narrow" w:hAnsi="Aptos Narrow"/>
                <w:color w:val="000000"/>
              </w:rPr>
              <w:t xml:space="preserve">for </w:t>
            </w:r>
            <w:r w:rsidR="00ED1B38">
              <w:rPr>
                <w:rFonts w:ascii="Aptos Narrow" w:hAnsi="Aptos Narrow"/>
                <w:color w:val="000000"/>
              </w:rPr>
              <w:t xml:space="preserve">the role of Executive Advisor which brings </w:t>
            </w:r>
            <w:r w:rsidR="00BF4FD8">
              <w:rPr>
                <w:rFonts w:ascii="Aptos Narrow" w:hAnsi="Aptos Narrow"/>
                <w:color w:val="000000"/>
              </w:rPr>
              <w:t>crucial</w:t>
            </w:r>
            <w:r w:rsidR="00ED1B38">
              <w:rPr>
                <w:rFonts w:ascii="Aptos Narrow" w:hAnsi="Aptos Narrow"/>
                <w:color w:val="000000"/>
              </w:rPr>
              <w:t xml:space="preserve"> skills and experience to the Broadway project.</w:t>
            </w:r>
          </w:p>
          <w:p w14:paraId="2E22C44A" w14:textId="77777777" w:rsidR="00ED1B38" w:rsidRDefault="00ED1B38" w:rsidP="00ED1B38">
            <w:pPr>
              <w:rPr>
                <w:rFonts w:ascii="Aptos Narrow" w:hAnsi="Aptos Narrow"/>
                <w:color w:val="000000"/>
              </w:rPr>
            </w:pPr>
          </w:p>
        </w:tc>
      </w:tr>
      <w:tr w:rsidR="00ED1B38" w14:paraId="0C526998" w14:textId="77777777" w:rsidTr="00EA53AA">
        <w:trPr>
          <w:trHeight w:val="562"/>
        </w:trPr>
        <w:tc>
          <w:tcPr>
            <w:tcW w:w="988" w:type="dxa"/>
          </w:tcPr>
          <w:p w14:paraId="7029151C" w14:textId="554A6CCF" w:rsidR="00ED1B38" w:rsidRDefault="00ED1B38" w:rsidP="008579B3">
            <w:r>
              <w:t>32.7</w:t>
            </w:r>
          </w:p>
        </w:tc>
        <w:tc>
          <w:tcPr>
            <w:tcW w:w="8028" w:type="dxa"/>
          </w:tcPr>
          <w:p w14:paraId="7CCCB181" w14:textId="5AA56E12" w:rsidR="00ED1B38" w:rsidRDefault="00D33652" w:rsidP="00ED1B38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Article</w:t>
            </w:r>
            <w:r w:rsidR="00423F9B">
              <w:rPr>
                <w:rFonts w:ascii="Aptos Narrow" w:hAnsi="Aptos Narrow"/>
                <w:color w:val="000000"/>
              </w:rPr>
              <w:t xml:space="preserve"> 32.7 </w:t>
            </w:r>
            <w:r w:rsidR="002A17A5">
              <w:rPr>
                <w:rFonts w:ascii="Aptos Narrow" w:hAnsi="Aptos Narrow"/>
                <w:color w:val="000000"/>
              </w:rPr>
              <w:t xml:space="preserve">is </w:t>
            </w:r>
            <w:r w:rsidR="00423F9B">
              <w:rPr>
                <w:rFonts w:ascii="Aptos Narrow" w:hAnsi="Aptos Narrow"/>
                <w:color w:val="000000"/>
              </w:rPr>
              <w:t>added</w:t>
            </w:r>
            <w:r w:rsidR="00ED1B38">
              <w:rPr>
                <w:rFonts w:ascii="Aptos Narrow" w:hAnsi="Aptos Narrow"/>
                <w:color w:val="000000"/>
              </w:rPr>
              <w:t xml:space="preserve"> to </w:t>
            </w:r>
            <w:r w:rsidR="00423F9B">
              <w:rPr>
                <w:rFonts w:ascii="Aptos Narrow" w:hAnsi="Aptos Narrow"/>
                <w:color w:val="000000"/>
              </w:rPr>
              <w:t>allow</w:t>
            </w:r>
            <w:r w:rsidR="00ED1B38">
              <w:rPr>
                <w:rFonts w:ascii="Aptos Narrow" w:hAnsi="Aptos Narrow"/>
                <w:color w:val="000000"/>
              </w:rPr>
              <w:t xml:space="preserve"> </w:t>
            </w:r>
            <w:r w:rsidR="002A17A5">
              <w:rPr>
                <w:rFonts w:ascii="Aptos Narrow" w:hAnsi="Aptos Narrow"/>
                <w:color w:val="000000"/>
              </w:rPr>
              <w:t xml:space="preserve">for </w:t>
            </w:r>
            <w:r w:rsidR="00ED1B38">
              <w:rPr>
                <w:rFonts w:ascii="Aptos Narrow" w:hAnsi="Aptos Narrow"/>
                <w:color w:val="000000"/>
              </w:rPr>
              <w:t>Benefactor</w:t>
            </w:r>
            <w:r w:rsidR="00423F9B">
              <w:rPr>
                <w:rFonts w:ascii="Aptos Narrow" w:hAnsi="Aptos Narrow"/>
                <w:color w:val="000000"/>
              </w:rPr>
              <w:t>s</w:t>
            </w:r>
            <w:r w:rsidR="00ED1B38">
              <w:rPr>
                <w:rFonts w:ascii="Aptos Narrow" w:hAnsi="Aptos Narrow"/>
                <w:color w:val="000000"/>
              </w:rPr>
              <w:t xml:space="preserve"> and</w:t>
            </w:r>
            <w:r w:rsidR="00ED1B38">
              <w:rPr>
                <w:rFonts w:ascii="Aptos Narrow" w:hAnsi="Aptos Narrow"/>
                <w:color w:val="000000"/>
              </w:rPr>
              <w:t xml:space="preserve"> to explain</w:t>
            </w:r>
            <w:r w:rsidR="00ED1B38">
              <w:rPr>
                <w:rFonts w:ascii="Aptos Narrow" w:hAnsi="Aptos Narrow"/>
                <w:color w:val="000000"/>
              </w:rPr>
              <w:t xml:space="preserve"> importance </w:t>
            </w:r>
            <w:r w:rsidR="002A17A5">
              <w:rPr>
                <w:rFonts w:ascii="Aptos Narrow" w:hAnsi="Aptos Narrow"/>
                <w:color w:val="000000"/>
              </w:rPr>
              <w:t>they</w:t>
            </w:r>
            <w:r w:rsidR="00ED1B38">
              <w:rPr>
                <w:rFonts w:ascii="Aptos Narrow" w:hAnsi="Aptos Narrow"/>
                <w:color w:val="000000"/>
              </w:rPr>
              <w:t xml:space="preserve"> bring</w:t>
            </w:r>
            <w:r w:rsidR="002A17A5">
              <w:rPr>
                <w:rFonts w:ascii="Aptos Narrow" w:hAnsi="Aptos Narrow"/>
                <w:color w:val="000000"/>
              </w:rPr>
              <w:t xml:space="preserve"> </w:t>
            </w:r>
            <w:r w:rsidR="00ED1B38">
              <w:rPr>
                <w:rFonts w:ascii="Aptos Narrow" w:hAnsi="Aptos Narrow"/>
                <w:color w:val="000000"/>
              </w:rPr>
              <w:t>to the Broadway project.</w:t>
            </w:r>
          </w:p>
          <w:p w14:paraId="731BCB47" w14:textId="77777777" w:rsidR="00ED1B38" w:rsidRDefault="00ED1B38" w:rsidP="00ED1B38">
            <w:pPr>
              <w:rPr>
                <w:rFonts w:ascii="Aptos Narrow" w:hAnsi="Aptos Narrow"/>
                <w:color w:val="000000"/>
              </w:rPr>
            </w:pPr>
          </w:p>
        </w:tc>
      </w:tr>
      <w:tr w:rsidR="00ED1B38" w14:paraId="4C995298" w14:textId="77777777" w:rsidTr="00EA53AA">
        <w:trPr>
          <w:trHeight w:val="562"/>
        </w:trPr>
        <w:tc>
          <w:tcPr>
            <w:tcW w:w="988" w:type="dxa"/>
          </w:tcPr>
          <w:p w14:paraId="6A131FDB" w14:textId="5E43C6D6" w:rsidR="00ED1B38" w:rsidRDefault="00ED1B38" w:rsidP="008579B3">
            <w:r>
              <w:t>32.8</w:t>
            </w:r>
          </w:p>
        </w:tc>
        <w:tc>
          <w:tcPr>
            <w:tcW w:w="8028" w:type="dxa"/>
          </w:tcPr>
          <w:p w14:paraId="11CE4796" w14:textId="1E019C28" w:rsidR="00ED1B38" w:rsidRDefault="00D33652" w:rsidP="00ED1B38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Article</w:t>
            </w:r>
            <w:r w:rsidR="00423F9B">
              <w:rPr>
                <w:rFonts w:ascii="Aptos Narrow" w:hAnsi="Aptos Narrow"/>
                <w:color w:val="000000"/>
              </w:rPr>
              <w:t xml:space="preserve"> 21.8 </w:t>
            </w:r>
            <w:r w:rsidR="002A17A5">
              <w:rPr>
                <w:rFonts w:ascii="Aptos Narrow" w:hAnsi="Aptos Narrow"/>
                <w:color w:val="000000"/>
              </w:rPr>
              <w:t xml:space="preserve">is </w:t>
            </w:r>
            <w:r w:rsidR="00423F9B">
              <w:rPr>
                <w:rFonts w:ascii="Aptos Narrow" w:hAnsi="Aptos Narrow"/>
                <w:color w:val="000000"/>
              </w:rPr>
              <w:t>added</w:t>
            </w:r>
            <w:r w:rsidR="00ED1B38">
              <w:rPr>
                <w:rFonts w:ascii="Aptos Narrow" w:hAnsi="Aptos Narrow"/>
                <w:color w:val="000000"/>
              </w:rPr>
              <w:t xml:space="preserve"> to </w:t>
            </w:r>
            <w:r w:rsidR="00423F9B">
              <w:rPr>
                <w:rFonts w:ascii="Aptos Narrow" w:hAnsi="Aptos Narrow"/>
                <w:color w:val="000000"/>
              </w:rPr>
              <w:t xml:space="preserve">allow </w:t>
            </w:r>
            <w:r w:rsidR="002A17A5">
              <w:rPr>
                <w:rFonts w:ascii="Aptos Narrow" w:hAnsi="Aptos Narrow"/>
                <w:color w:val="000000"/>
              </w:rPr>
              <w:t xml:space="preserve">for </w:t>
            </w:r>
            <w:r w:rsidR="00ED1B38">
              <w:rPr>
                <w:rFonts w:ascii="Aptos Narrow" w:hAnsi="Aptos Narrow"/>
                <w:color w:val="000000"/>
              </w:rPr>
              <w:t>Life Member</w:t>
            </w:r>
            <w:r w:rsidR="00ED1B38">
              <w:rPr>
                <w:rFonts w:ascii="Aptos Narrow" w:hAnsi="Aptos Narrow"/>
                <w:color w:val="000000"/>
              </w:rPr>
              <w:t>s</w:t>
            </w:r>
            <w:r w:rsidR="00ED1B38">
              <w:rPr>
                <w:rFonts w:ascii="Aptos Narrow" w:hAnsi="Aptos Narrow"/>
                <w:color w:val="000000"/>
              </w:rPr>
              <w:t xml:space="preserve"> </w:t>
            </w:r>
            <w:r w:rsidR="002A17A5">
              <w:rPr>
                <w:rFonts w:ascii="Aptos Narrow" w:hAnsi="Aptos Narrow"/>
                <w:color w:val="000000"/>
              </w:rPr>
              <w:t>being</w:t>
            </w:r>
            <w:r w:rsidR="00ED1B38">
              <w:rPr>
                <w:rFonts w:ascii="Aptos Narrow" w:hAnsi="Aptos Narrow"/>
                <w:color w:val="000000"/>
              </w:rPr>
              <w:t xml:space="preserve"> official </w:t>
            </w:r>
            <w:r w:rsidR="00ED1B38">
              <w:rPr>
                <w:rFonts w:ascii="Aptos Narrow" w:hAnsi="Aptos Narrow"/>
                <w:color w:val="000000"/>
              </w:rPr>
              <w:t>recognition for services to the Broadway project.</w:t>
            </w:r>
          </w:p>
          <w:p w14:paraId="7AB9FFDA" w14:textId="77777777" w:rsidR="00ED1B38" w:rsidRDefault="00ED1B38" w:rsidP="00ED1B38">
            <w:pPr>
              <w:rPr>
                <w:rFonts w:ascii="Aptos Narrow" w:hAnsi="Aptos Narrow"/>
                <w:color w:val="000000"/>
              </w:rPr>
            </w:pPr>
          </w:p>
        </w:tc>
      </w:tr>
      <w:tr w:rsidR="00ED1B38" w14:paraId="4AF2609E" w14:textId="77777777" w:rsidTr="00EA53AA">
        <w:trPr>
          <w:trHeight w:val="562"/>
        </w:trPr>
        <w:tc>
          <w:tcPr>
            <w:tcW w:w="988" w:type="dxa"/>
          </w:tcPr>
          <w:p w14:paraId="7FCD1753" w14:textId="77777777" w:rsidR="00ED1B38" w:rsidRDefault="00ED1B38" w:rsidP="00ED1B38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39.1</w:t>
            </w:r>
          </w:p>
          <w:p w14:paraId="6C6D8C42" w14:textId="77777777" w:rsidR="00ED1B38" w:rsidRDefault="00ED1B38" w:rsidP="008579B3"/>
        </w:tc>
        <w:tc>
          <w:tcPr>
            <w:tcW w:w="8028" w:type="dxa"/>
          </w:tcPr>
          <w:p w14:paraId="35298B67" w14:textId="06E0AA3B" w:rsidR="00ED1B38" w:rsidRDefault="00D33652" w:rsidP="00ED1B38">
            <w:pPr>
              <w:rPr>
                <w:rFonts w:ascii="Aptos Narrow" w:hAnsi="Aptos Narrow"/>
                <w:color w:val="000000"/>
              </w:rPr>
            </w:pPr>
            <w:proofErr w:type="gramStart"/>
            <w:r>
              <w:rPr>
                <w:rFonts w:ascii="Aptos Narrow" w:hAnsi="Aptos Narrow"/>
                <w:color w:val="000000"/>
              </w:rPr>
              <w:t>Article</w:t>
            </w:r>
            <w:r>
              <w:rPr>
                <w:rFonts w:ascii="Aptos Narrow" w:hAnsi="Aptos Narrow"/>
                <w:color w:val="000000"/>
              </w:rPr>
              <w:t xml:space="preserve"> </w:t>
            </w:r>
            <w:r w:rsidR="00423F9B">
              <w:rPr>
                <w:rFonts w:ascii="Aptos Narrow" w:hAnsi="Aptos Narrow"/>
                <w:color w:val="000000"/>
              </w:rPr>
              <w:t xml:space="preserve"> 39.1</w:t>
            </w:r>
            <w:proofErr w:type="gramEnd"/>
            <w:r w:rsidR="00ED1B38">
              <w:rPr>
                <w:rFonts w:ascii="Aptos Narrow" w:hAnsi="Aptos Narrow"/>
                <w:color w:val="000000"/>
              </w:rPr>
              <w:t xml:space="preserve"> </w:t>
            </w:r>
            <w:r w:rsidR="002A17A5">
              <w:rPr>
                <w:rFonts w:ascii="Aptos Narrow" w:hAnsi="Aptos Narrow"/>
                <w:color w:val="000000"/>
              </w:rPr>
              <w:t xml:space="preserve">is </w:t>
            </w:r>
            <w:r w:rsidR="00ED1B38">
              <w:rPr>
                <w:rFonts w:ascii="Aptos Narrow" w:hAnsi="Aptos Narrow"/>
                <w:color w:val="000000"/>
              </w:rPr>
              <w:t xml:space="preserve">updated to include the requirement for evidence to be provided for </w:t>
            </w:r>
            <w:r w:rsidR="00423F9B">
              <w:rPr>
                <w:rFonts w:ascii="Aptos Narrow" w:hAnsi="Aptos Narrow"/>
                <w:color w:val="000000"/>
              </w:rPr>
              <w:t>Out-of-Pocket</w:t>
            </w:r>
            <w:r w:rsidR="00ED1B38">
              <w:rPr>
                <w:rFonts w:ascii="Aptos Narrow" w:hAnsi="Aptos Narrow"/>
                <w:color w:val="000000"/>
              </w:rPr>
              <w:t xml:space="preserve"> expenses.</w:t>
            </w:r>
          </w:p>
          <w:p w14:paraId="41AAA7C1" w14:textId="77777777" w:rsidR="00ED1B38" w:rsidRDefault="00ED1B38" w:rsidP="00ED1B38">
            <w:pPr>
              <w:rPr>
                <w:rFonts w:ascii="Aptos Narrow" w:hAnsi="Aptos Narrow"/>
                <w:color w:val="000000"/>
              </w:rPr>
            </w:pPr>
          </w:p>
        </w:tc>
      </w:tr>
    </w:tbl>
    <w:p w14:paraId="657A14CF" w14:textId="76D41583" w:rsidR="009E2B22" w:rsidRDefault="009E2B22"/>
    <w:sectPr w:rsidR="009E2B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87FE2" w14:textId="77777777" w:rsidR="00044F28" w:rsidRDefault="00044F28" w:rsidP="00522D2F">
      <w:pPr>
        <w:spacing w:after="0" w:line="240" w:lineRule="auto"/>
      </w:pPr>
      <w:r>
        <w:separator/>
      </w:r>
    </w:p>
  </w:endnote>
  <w:endnote w:type="continuationSeparator" w:id="0">
    <w:p w14:paraId="1F65A4BC" w14:textId="77777777" w:rsidR="00044F28" w:rsidRDefault="00044F28" w:rsidP="00522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52776" w14:textId="77777777" w:rsidR="00044F28" w:rsidRDefault="00044F28" w:rsidP="00522D2F">
      <w:pPr>
        <w:spacing w:after="0" w:line="240" w:lineRule="auto"/>
      </w:pPr>
      <w:r>
        <w:separator/>
      </w:r>
    </w:p>
  </w:footnote>
  <w:footnote w:type="continuationSeparator" w:id="0">
    <w:p w14:paraId="392C59FB" w14:textId="77777777" w:rsidR="00044F28" w:rsidRDefault="00044F28" w:rsidP="00522D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AA"/>
    <w:rsid w:val="0003052F"/>
    <w:rsid w:val="00044F28"/>
    <w:rsid w:val="000C7684"/>
    <w:rsid w:val="00192452"/>
    <w:rsid w:val="002114F6"/>
    <w:rsid w:val="00240A6E"/>
    <w:rsid w:val="002A17A5"/>
    <w:rsid w:val="00312E8B"/>
    <w:rsid w:val="003228E5"/>
    <w:rsid w:val="00423F9B"/>
    <w:rsid w:val="00482AB5"/>
    <w:rsid w:val="00522D2F"/>
    <w:rsid w:val="00670952"/>
    <w:rsid w:val="006A3D4A"/>
    <w:rsid w:val="00743646"/>
    <w:rsid w:val="008579B3"/>
    <w:rsid w:val="009C25F6"/>
    <w:rsid w:val="009E2B22"/>
    <w:rsid w:val="00B07BCC"/>
    <w:rsid w:val="00BE0923"/>
    <w:rsid w:val="00BF3E41"/>
    <w:rsid w:val="00BF4FD8"/>
    <w:rsid w:val="00D33652"/>
    <w:rsid w:val="00E42887"/>
    <w:rsid w:val="00E47C7E"/>
    <w:rsid w:val="00EA53AA"/>
    <w:rsid w:val="00EB0306"/>
    <w:rsid w:val="00ED1B38"/>
    <w:rsid w:val="00F2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64D97"/>
  <w15:chartTrackingRefBased/>
  <w15:docId w15:val="{2CDBDA10-1379-4ECD-9726-9AE8CA93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3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3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3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3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3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3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3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3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3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3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3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2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D2F"/>
  </w:style>
  <w:style w:type="paragraph" w:styleId="Footer">
    <w:name w:val="footer"/>
    <w:basedOn w:val="Normal"/>
    <w:link w:val="FooterChar"/>
    <w:uiPriority w:val="99"/>
    <w:unhideWhenUsed/>
    <w:rsid w:val="00522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Barnett</dc:creator>
  <cp:keywords/>
  <dc:description/>
  <cp:lastModifiedBy>Graham Barnett</cp:lastModifiedBy>
  <cp:revision>2</cp:revision>
  <dcterms:created xsi:type="dcterms:W3CDTF">2024-08-09T10:55:00Z</dcterms:created>
  <dcterms:modified xsi:type="dcterms:W3CDTF">2024-08-09T10:55:00Z</dcterms:modified>
</cp:coreProperties>
</file>